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9B" w:rsidRDefault="002C67EB" w:rsidP="0094089B">
      <w:pPr>
        <w:pStyle w:val="Title"/>
      </w:pPr>
      <w:r>
        <w:t>Tjenestemandspension</w:t>
      </w:r>
    </w:p>
    <w:p w:rsidR="002C67EB" w:rsidRPr="002C67EB" w:rsidRDefault="002C67EB" w:rsidP="002C67EB"/>
    <w:sdt>
      <w:sdtPr>
        <w:rPr>
          <w:rFonts w:asciiTheme="minorHAnsi" w:eastAsiaTheme="minorHAnsi" w:hAnsiTheme="minorHAnsi" w:cstheme="minorBidi"/>
          <w:color w:val="auto"/>
          <w:sz w:val="22"/>
          <w:szCs w:val="22"/>
          <w:lang w:eastAsia="en-US"/>
        </w:rPr>
        <w:id w:val="-1847092943"/>
        <w:docPartObj>
          <w:docPartGallery w:val="Table of Contents"/>
          <w:docPartUnique/>
        </w:docPartObj>
      </w:sdtPr>
      <w:sdtEndPr>
        <w:rPr>
          <w:b/>
          <w:bCs/>
        </w:rPr>
      </w:sdtEndPr>
      <w:sdtContent>
        <w:p w:rsidR="0094089B" w:rsidRPr="00F33562" w:rsidRDefault="0094089B">
          <w:pPr>
            <w:pStyle w:val="TOCHeading"/>
          </w:pPr>
          <w:r w:rsidRPr="00F33562">
            <w:t>Indhold</w:t>
          </w:r>
        </w:p>
        <w:p w:rsidR="00F539E1" w:rsidRDefault="0094089B">
          <w:pPr>
            <w:pStyle w:val="TOC1"/>
            <w:tabs>
              <w:tab w:val="right" w:leader="dot" w:pos="9628"/>
            </w:tabs>
            <w:rPr>
              <w:rFonts w:eastAsiaTheme="minorEastAsia"/>
              <w:noProof/>
              <w:lang w:eastAsia="da-DK"/>
            </w:rPr>
          </w:pPr>
          <w:r>
            <w:fldChar w:fldCharType="begin"/>
          </w:r>
          <w:r w:rsidRPr="0094089B">
            <w:rPr>
              <w:lang w:val="en-US"/>
            </w:rPr>
            <w:instrText xml:space="preserve"> TOC \o "1-3" \h \z \u </w:instrText>
          </w:r>
          <w:r>
            <w:fldChar w:fldCharType="separate"/>
          </w:r>
          <w:hyperlink w:anchor="_Toc512321361" w:history="1">
            <w:r w:rsidR="00F539E1" w:rsidRPr="00446684">
              <w:rPr>
                <w:rStyle w:val="Hyperlink"/>
                <w:noProof/>
              </w:rPr>
              <w:t>Hvad er Tjenestemandspension?</w:t>
            </w:r>
            <w:r w:rsidR="00F539E1">
              <w:rPr>
                <w:noProof/>
                <w:webHidden/>
              </w:rPr>
              <w:tab/>
            </w:r>
            <w:r w:rsidR="00F539E1">
              <w:rPr>
                <w:noProof/>
                <w:webHidden/>
              </w:rPr>
              <w:fldChar w:fldCharType="begin"/>
            </w:r>
            <w:r w:rsidR="00F539E1">
              <w:rPr>
                <w:noProof/>
                <w:webHidden/>
              </w:rPr>
              <w:instrText xml:space="preserve"> PAGEREF _Toc512321361 \h </w:instrText>
            </w:r>
            <w:r w:rsidR="00F539E1">
              <w:rPr>
                <w:noProof/>
                <w:webHidden/>
              </w:rPr>
            </w:r>
            <w:r w:rsidR="00F539E1">
              <w:rPr>
                <w:noProof/>
                <w:webHidden/>
              </w:rPr>
              <w:fldChar w:fldCharType="separate"/>
            </w:r>
            <w:r w:rsidR="00093EBF">
              <w:rPr>
                <w:noProof/>
                <w:webHidden/>
              </w:rPr>
              <w:t>1</w:t>
            </w:r>
            <w:r w:rsidR="00F539E1">
              <w:rPr>
                <w:noProof/>
                <w:webHidden/>
              </w:rPr>
              <w:fldChar w:fldCharType="end"/>
            </w:r>
          </w:hyperlink>
        </w:p>
        <w:p w:rsidR="00F539E1" w:rsidRDefault="00F539E1">
          <w:pPr>
            <w:pStyle w:val="TOC1"/>
            <w:tabs>
              <w:tab w:val="right" w:leader="dot" w:pos="9628"/>
            </w:tabs>
            <w:rPr>
              <w:rFonts w:eastAsiaTheme="minorEastAsia"/>
              <w:noProof/>
              <w:lang w:eastAsia="da-DK"/>
            </w:rPr>
          </w:pPr>
          <w:hyperlink w:anchor="_Toc512321362" w:history="1">
            <w:r w:rsidRPr="00446684">
              <w:rPr>
                <w:rStyle w:val="Hyperlink"/>
                <w:noProof/>
              </w:rPr>
              <w:t>Om Tjenestemandspension</w:t>
            </w:r>
            <w:r>
              <w:rPr>
                <w:noProof/>
                <w:webHidden/>
              </w:rPr>
              <w:tab/>
            </w:r>
            <w:r>
              <w:rPr>
                <w:noProof/>
                <w:webHidden/>
              </w:rPr>
              <w:fldChar w:fldCharType="begin"/>
            </w:r>
            <w:r>
              <w:rPr>
                <w:noProof/>
                <w:webHidden/>
              </w:rPr>
              <w:instrText xml:space="preserve"> PAGEREF _Toc512321362 \h </w:instrText>
            </w:r>
            <w:r>
              <w:rPr>
                <w:noProof/>
                <w:webHidden/>
              </w:rPr>
            </w:r>
            <w:r>
              <w:rPr>
                <w:noProof/>
                <w:webHidden/>
              </w:rPr>
              <w:fldChar w:fldCharType="separate"/>
            </w:r>
            <w:r w:rsidR="00093EBF">
              <w:rPr>
                <w:noProof/>
                <w:webHidden/>
              </w:rPr>
              <w:t>1</w:t>
            </w:r>
            <w:r>
              <w:rPr>
                <w:noProof/>
                <w:webHidden/>
              </w:rPr>
              <w:fldChar w:fldCharType="end"/>
            </w:r>
          </w:hyperlink>
        </w:p>
        <w:p w:rsidR="00F539E1" w:rsidRDefault="00F539E1">
          <w:pPr>
            <w:pStyle w:val="TOC1"/>
            <w:tabs>
              <w:tab w:val="right" w:leader="dot" w:pos="9628"/>
            </w:tabs>
            <w:rPr>
              <w:rFonts w:eastAsiaTheme="minorEastAsia"/>
              <w:noProof/>
              <w:lang w:eastAsia="da-DK"/>
            </w:rPr>
          </w:pPr>
          <w:hyperlink w:anchor="_Toc512321363" w:history="1">
            <w:r w:rsidRPr="00446684">
              <w:rPr>
                <w:rStyle w:val="Hyperlink"/>
                <w:noProof/>
              </w:rPr>
              <w:t>Sådan bliver Tjenestemandspension udregnet</w:t>
            </w:r>
            <w:r>
              <w:rPr>
                <w:noProof/>
                <w:webHidden/>
              </w:rPr>
              <w:tab/>
            </w:r>
            <w:r>
              <w:rPr>
                <w:noProof/>
                <w:webHidden/>
              </w:rPr>
              <w:fldChar w:fldCharType="begin"/>
            </w:r>
            <w:r>
              <w:rPr>
                <w:noProof/>
                <w:webHidden/>
              </w:rPr>
              <w:instrText xml:space="preserve"> PAGEREF _Toc512321363 \h </w:instrText>
            </w:r>
            <w:r>
              <w:rPr>
                <w:noProof/>
                <w:webHidden/>
              </w:rPr>
            </w:r>
            <w:r>
              <w:rPr>
                <w:noProof/>
                <w:webHidden/>
              </w:rPr>
              <w:fldChar w:fldCharType="separate"/>
            </w:r>
            <w:r w:rsidR="00093EBF">
              <w:rPr>
                <w:noProof/>
                <w:webHidden/>
              </w:rPr>
              <w:t>2</w:t>
            </w:r>
            <w:r>
              <w:rPr>
                <w:noProof/>
                <w:webHidden/>
              </w:rPr>
              <w:fldChar w:fldCharType="end"/>
            </w:r>
          </w:hyperlink>
        </w:p>
        <w:p w:rsidR="00F539E1" w:rsidRDefault="00F539E1">
          <w:pPr>
            <w:pStyle w:val="TOC2"/>
            <w:tabs>
              <w:tab w:val="right" w:leader="dot" w:pos="9628"/>
            </w:tabs>
            <w:rPr>
              <w:rFonts w:eastAsiaTheme="minorEastAsia"/>
              <w:noProof/>
              <w:lang w:eastAsia="da-DK"/>
            </w:rPr>
          </w:pPr>
          <w:hyperlink w:anchor="_Toc512321364" w:history="1">
            <w:r w:rsidRPr="00446684">
              <w:rPr>
                <w:rStyle w:val="Hyperlink"/>
                <w:noProof/>
              </w:rPr>
              <w:t>Pensionsalder</w:t>
            </w:r>
            <w:r>
              <w:rPr>
                <w:noProof/>
                <w:webHidden/>
              </w:rPr>
              <w:tab/>
            </w:r>
            <w:r>
              <w:rPr>
                <w:noProof/>
                <w:webHidden/>
              </w:rPr>
              <w:fldChar w:fldCharType="begin"/>
            </w:r>
            <w:r>
              <w:rPr>
                <w:noProof/>
                <w:webHidden/>
              </w:rPr>
              <w:instrText xml:space="preserve"> PAGEREF _Toc512321364 \h </w:instrText>
            </w:r>
            <w:r>
              <w:rPr>
                <w:noProof/>
                <w:webHidden/>
              </w:rPr>
            </w:r>
            <w:r>
              <w:rPr>
                <w:noProof/>
                <w:webHidden/>
              </w:rPr>
              <w:fldChar w:fldCharType="separate"/>
            </w:r>
            <w:r w:rsidR="00093EBF">
              <w:rPr>
                <w:noProof/>
                <w:webHidden/>
              </w:rPr>
              <w:t>2</w:t>
            </w:r>
            <w:r>
              <w:rPr>
                <w:noProof/>
                <w:webHidden/>
              </w:rPr>
              <w:fldChar w:fldCharType="end"/>
            </w:r>
          </w:hyperlink>
        </w:p>
        <w:p w:rsidR="00F539E1" w:rsidRDefault="00F539E1">
          <w:pPr>
            <w:pStyle w:val="TOC2"/>
            <w:tabs>
              <w:tab w:val="right" w:leader="dot" w:pos="9628"/>
            </w:tabs>
            <w:rPr>
              <w:rFonts w:eastAsiaTheme="minorEastAsia"/>
              <w:noProof/>
              <w:lang w:eastAsia="da-DK"/>
            </w:rPr>
          </w:pPr>
          <w:hyperlink w:anchor="_Toc512321365" w:history="1">
            <w:r w:rsidRPr="00446684">
              <w:rPr>
                <w:rStyle w:val="Hyperlink"/>
                <w:noProof/>
              </w:rPr>
              <w:t>Skalatrin</w:t>
            </w:r>
            <w:r>
              <w:rPr>
                <w:noProof/>
                <w:webHidden/>
              </w:rPr>
              <w:tab/>
            </w:r>
            <w:r>
              <w:rPr>
                <w:noProof/>
                <w:webHidden/>
              </w:rPr>
              <w:fldChar w:fldCharType="begin"/>
            </w:r>
            <w:r>
              <w:rPr>
                <w:noProof/>
                <w:webHidden/>
              </w:rPr>
              <w:instrText xml:space="preserve"> PAGEREF _Toc512321365 \h </w:instrText>
            </w:r>
            <w:r>
              <w:rPr>
                <w:noProof/>
                <w:webHidden/>
              </w:rPr>
            </w:r>
            <w:r>
              <w:rPr>
                <w:noProof/>
                <w:webHidden/>
              </w:rPr>
              <w:fldChar w:fldCharType="separate"/>
            </w:r>
            <w:r w:rsidR="00093EBF">
              <w:rPr>
                <w:noProof/>
                <w:webHidden/>
              </w:rPr>
              <w:t>3</w:t>
            </w:r>
            <w:r>
              <w:rPr>
                <w:noProof/>
                <w:webHidden/>
              </w:rPr>
              <w:fldChar w:fldCharType="end"/>
            </w:r>
          </w:hyperlink>
        </w:p>
        <w:p w:rsidR="00F539E1" w:rsidRDefault="00F539E1">
          <w:pPr>
            <w:pStyle w:val="TOC2"/>
            <w:tabs>
              <w:tab w:val="right" w:leader="dot" w:pos="9628"/>
            </w:tabs>
            <w:rPr>
              <w:rFonts w:eastAsiaTheme="minorEastAsia"/>
              <w:noProof/>
              <w:lang w:eastAsia="da-DK"/>
            </w:rPr>
          </w:pPr>
          <w:hyperlink w:anchor="_Toc512321366" w:history="1">
            <w:r w:rsidRPr="00446684">
              <w:rPr>
                <w:rStyle w:val="Hyperlink"/>
                <w:noProof/>
              </w:rPr>
              <w:t>Andet</w:t>
            </w:r>
            <w:r>
              <w:rPr>
                <w:noProof/>
                <w:webHidden/>
              </w:rPr>
              <w:tab/>
            </w:r>
            <w:r>
              <w:rPr>
                <w:noProof/>
                <w:webHidden/>
              </w:rPr>
              <w:fldChar w:fldCharType="begin"/>
            </w:r>
            <w:r>
              <w:rPr>
                <w:noProof/>
                <w:webHidden/>
              </w:rPr>
              <w:instrText xml:space="preserve"> PAGEREF _Toc512321366 \h </w:instrText>
            </w:r>
            <w:r>
              <w:rPr>
                <w:noProof/>
                <w:webHidden/>
              </w:rPr>
            </w:r>
            <w:r>
              <w:rPr>
                <w:noProof/>
                <w:webHidden/>
              </w:rPr>
              <w:fldChar w:fldCharType="separate"/>
            </w:r>
            <w:r w:rsidR="00093EBF">
              <w:rPr>
                <w:noProof/>
                <w:webHidden/>
              </w:rPr>
              <w:t>4</w:t>
            </w:r>
            <w:r>
              <w:rPr>
                <w:noProof/>
                <w:webHidden/>
              </w:rPr>
              <w:fldChar w:fldCharType="end"/>
            </w:r>
          </w:hyperlink>
        </w:p>
        <w:p w:rsidR="00F539E1" w:rsidRDefault="00F539E1">
          <w:pPr>
            <w:pStyle w:val="TOC1"/>
            <w:tabs>
              <w:tab w:val="right" w:leader="dot" w:pos="9628"/>
            </w:tabs>
            <w:rPr>
              <w:rFonts w:eastAsiaTheme="minorEastAsia"/>
              <w:noProof/>
              <w:lang w:eastAsia="da-DK"/>
            </w:rPr>
          </w:pPr>
          <w:hyperlink w:anchor="_Toc512321367" w:history="1">
            <w:r w:rsidRPr="00446684">
              <w:rPr>
                <w:rStyle w:val="Hyperlink"/>
                <w:noProof/>
              </w:rPr>
              <w:t>Eksempler på Tjenestemandspension</w:t>
            </w:r>
            <w:r>
              <w:rPr>
                <w:noProof/>
                <w:webHidden/>
              </w:rPr>
              <w:tab/>
            </w:r>
            <w:r>
              <w:rPr>
                <w:noProof/>
                <w:webHidden/>
              </w:rPr>
              <w:fldChar w:fldCharType="begin"/>
            </w:r>
            <w:r>
              <w:rPr>
                <w:noProof/>
                <w:webHidden/>
              </w:rPr>
              <w:instrText xml:space="preserve"> PAGEREF _Toc512321367 \h </w:instrText>
            </w:r>
            <w:r>
              <w:rPr>
                <w:noProof/>
                <w:webHidden/>
              </w:rPr>
            </w:r>
            <w:r>
              <w:rPr>
                <w:noProof/>
                <w:webHidden/>
              </w:rPr>
              <w:fldChar w:fldCharType="separate"/>
            </w:r>
            <w:r w:rsidR="00093EBF">
              <w:rPr>
                <w:noProof/>
                <w:webHidden/>
              </w:rPr>
              <w:t>4</w:t>
            </w:r>
            <w:r>
              <w:rPr>
                <w:noProof/>
                <w:webHidden/>
              </w:rPr>
              <w:fldChar w:fldCharType="end"/>
            </w:r>
          </w:hyperlink>
        </w:p>
        <w:p w:rsidR="00F539E1" w:rsidRDefault="00F539E1">
          <w:pPr>
            <w:pStyle w:val="TOC1"/>
            <w:tabs>
              <w:tab w:val="right" w:leader="dot" w:pos="9628"/>
            </w:tabs>
            <w:rPr>
              <w:rFonts w:eastAsiaTheme="minorEastAsia"/>
              <w:noProof/>
              <w:lang w:eastAsia="da-DK"/>
            </w:rPr>
          </w:pPr>
          <w:hyperlink w:anchor="_Toc512321368" w:history="1">
            <w:r w:rsidRPr="00446684">
              <w:rPr>
                <w:rStyle w:val="Hyperlink"/>
                <w:noProof/>
              </w:rPr>
              <w:t>Statistik om Tjenestemandspension</w:t>
            </w:r>
            <w:r>
              <w:rPr>
                <w:noProof/>
                <w:webHidden/>
              </w:rPr>
              <w:tab/>
            </w:r>
            <w:r>
              <w:rPr>
                <w:noProof/>
                <w:webHidden/>
              </w:rPr>
              <w:fldChar w:fldCharType="begin"/>
            </w:r>
            <w:r>
              <w:rPr>
                <w:noProof/>
                <w:webHidden/>
              </w:rPr>
              <w:instrText xml:space="preserve"> PAGEREF _Toc512321368 \h </w:instrText>
            </w:r>
            <w:r>
              <w:rPr>
                <w:noProof/>
                <w:webHidden/>
              </w:rPr>
            </w:r>
            <w:r>
              <w:rPr>
                <w:noProof/>
                <w:webHidden/>
              </w:rPr>
              <w:fldChar w:fldCharType="separate"/>
            </w:r>
            <w:r w:rsidR="00093EBF">
              <w:rPr>
                <w:noProof/>
                <w:webHidden/>
              </w:rPr>
              <w:t>4</w:t>
            </w:r>
            <w:r>
              <w:rPr>
                <w:noProof/>
                <w:webHidden/>
              </w:rPr>
              <w:fldChar w:fldCharType="end"/>
            </w:r>
          </w:hyperlink>
        </w:p>
        <w:p w:rsidR="00F539E1" w:rsidRDefault="00F539E1">
          <w:pPr>
            <w:pStyle w:val="TOC1"/>
            <w:tabs>
              <w:tab w:val="right" w:leader="dot" w:pos="9628"/>
            </w:tabs>
            <w:rPr>
              <w:rFonts w:eastAsiaTheme="minorEastAsia"/>
              <w:noProof/>
              <w:lang w:eastAsia="da-DK"/>
            </w:rPr>
          </w:pPr>
          <w:hyperlink w:anchor="_Toc512321369" w:history="1">
            <w:r w:rsidRPr="00446684">
              <w:rPr>
                <w:rStyle w:val="Hyperlink"/>
                <w:noProof/>
              </w:rPr>
              <w:t>Jura om Tjenestemandspension</w:t>
            </w:r>
            <w:r>
              <w:rPr>
                <w:noProof/>
                <w:webHidden/>
              </w:rPr>
              <w:tab/>
            </w:r>
            <w:r>
              <w:rPr>
                <w:noProof/>
                <w:webHidden/>
              </w:rPr>
              <w:fldChar w:fldCharType="begin"/>
            </w:r>
            <w:r>
              <w:rPr>
                <w:noProof/>
                <w:webHidden/>
              </w:rPr>
              <w:instrText xml:space="preserve"> PAGEREF _Toc512321369 \h </w:instrText>
            </w:r>
            <w:r>
              <w:rPr>
                <w:noProof/>
                <w:webHidden/>
              </w:rPr>
            </w:r>
            <w:r>
              <w:rPr>
                <w:noProof/>
                <w:webHidden/>
              </w:rPr>
              <w:fldChar w:fldCharType="separate"/>
            </w:r>
            <w:r w:rsidR="00093EBF">
              <w:rPr>
                <w:noProof/>
                <w:webHidden/>
              </w:rPr>
              <w:t>4</w:t>
            </w:r>
            <w:r>
              <w:rPr>
                <w:noProof/>
                <w:webHidden/>
              </w:rPr>
              <w:fldChar w:fldCharType="end"/>
            </w:r>
          </w:hyperlink>
        </w:p>
        <w:p w:rsidR="00F539E1" w:rsidRDefault="00F539E1">
          <w:pPr>
            <w:pStyle w:val="TOC1"/>
            <w:tabs>
              <w:tab w:val="right" w:leader="dot" w:pos="9628"/>
            </w:tabs>
            <w:rPr>
              <w:rFonts w:eastAsiaTheme="minorEastAsia"/>
              <w:noProof/>
              <w:lang w:eastAsia="da-DK"/>
            </w:rPr>
          </w:pPr>
          <w:hyperlink w:anchor="_Toc512321370" w:history="1">
            <w:r w:rsidRPr="00446684">
              <w:rPr>
                <w:rStyle w:val="Hyperlink"/>
                <w:noProof/>
              </w:rPr>
              <w:t xml:space="preserve">APPENDIX – </w:t>
            </w:r>
            <w:r w:rsidRPr="00446684">
              <w:rPr>
                <w:rStyle w:val="Hyperlink"/>
                <w:rFonts w:eastAsia="Times New Roman"/>
                <w:noProof/>
                <w:lang w:eastAsia="da-DK"/>
              </w:rPr>
              <w:t>Pensionsprocent 2017</w:t>
            </w:r>
            <w:r>
              <w:rPr>
                <w:noProof/>
                <w:webHidden/>
              </w:rPr>
              <w:tab/>
            </w:r>
            <w:r>
              <w:rPr>
                <w:noProof/>
                <w:webHidden/>
              </w:rPr>
              <w:fldChar w:fldCharType="begin"/>
            </w:r>
            <w:r>
              <w:rPr>
                <w:noProof/>
                <w:webHidden/>
              </w:rPr>
              <w:instrText xml:space="preserve"> PAGEREF _Toc512321370 \h </w:instrText>
            </w:r>
            <w:r>
              <w:rPr>
                <w:noProof/>
                <w:webHidden/>
              </w:rPr>
            </w:r>
            <w:r>
              <w:rPr>
                <w:noProof/>
                <w:webHidden/>
              </w:rPr>
              <w:fldChar w:fldCharType="separate"/>
            </w:r>
            <w:r w:rsidR="00093EBF">
              <w:rPr>
                <w:noProof/>
                <w:webHidden/>
              </w:rPr>
              <w:t>5</w:t>
            </w:r>
            <w:r>
              <w:rPr>
                <w:noProof/>
                <w:webHidden/>
              </w:rPr>
              <w:fldChar w:fldCharType="end"/>
            </w:r>
          </w:hyperlink>
        </w:p>
        <w:p w:rsidR="00F539E1" w:rsidRDefault="00F539E1">
          <w:pPr>
            <w:pStyle w:val="TOC1"/>
            <w:tabs>
              <w:tab w:val="right" w:leader="dot" w:pos="9628"/>
            </w:tabs>
            <w:rPr>
              <w:rFonts w:eastAsiaTheme="minorEastAsia"/>
              <w:noProof/>
              <w:lang w:eastAsia="da-DK"/>
            </w:rPr>
          </w:pPr>
          <w:hyperlink w:anchor="_Toc512321371" w:history="1">
            <w:r w:rsidRPr="00446684">
              <w:rPr>
                <w:rStyle w:val="Hyperlink"/>
                <w:noProof/>
              </w:rPr>
              <w:t>APPENDIX – Skalatrin 2017</w:t>
            </w:r>
            <w:r>
              <w:rPr>
                <w:noProof/>
                <w:webHidden/>
              </w:rPr>
              <w:tab/>
            </w:r>
            <w:r>
              <w:rPr>
                <w:noProof/>
                <w:webHidden/>
              </w:rPr>
              <w:fldChar w:fldCharType="begin"/>
            </w:r>
            <w:r>
              <w:rPr>
                <w:noProof/>
                <w:webHidden/>
              </w:rPr>
              <w:instrText xml:space="preserve"> PAGEREF _Toc512321371 \h </w:instrText>
            </w:r>
            <w:r>
              <w:rPr>
                <w:noProof/>
                <w:webHidden/>
              </w:rPr>
            </w:r>
            <w:r>
              <w:rPr>
                <w:noProof/>
                <w:webHidden/>
              </w:rPr>
              <w:fldChar w:fldCharType="separate"/>
            </w:r>
            <w:r w:rsidR="00093EBF">
              <w:rPr>
                <w:noProof/>
                <w:webHidden/>
              </w:rPr>
              <w:t>6</w:t>
            </w:r>
            <w:r>
              <w:rPr>
                <w:noProof/>
                <w:webHidden/>
              </w:rPr>
              <w:fldChar w:fldCharType="end"/>
            </w:r>
          </w:hyperlink>
        </w:p>
        <w:p w:rsidR="0094089B" w:rsidRPr="0094089B" w:rsidRDefault="0094089B">
          <w:pPr>
            <w:rPr>
              <w:lang w:val="en-US"/>
            </w:rPr>
          </w:pPr>
          <w:r>
            <w:rPr>
              <w:b/>
              <w:bCs/>
            </w:rPr>
            <w:fldChar w:fldCharType="end"/>
          </w:r>
        </w:p>
      </w:sdtContent>
    </w:sdt>
    <w:p w:rsidR="0094089B" w:rsidRPr="0094089B" w:rsidRDefault="0094089B" w:rsidP="0094089B">
      <w:pPr>
        <w:pStyle w:val="Heading1"/>
      </w:pPr>
      <w:bookmarkStart w:id="0" w:name="_Toc512321361"/>
      <w:r w:rsidRPr="0094089B">
        <w:t xml:space="preserve">Hvad er </w:t>
      </w:r>
      <w:r w:rsidR="00F1493A" w:rsidRPr="00F1493A">
        <w:t>Tjenestemandspension</w:t>
      </w:r>
      <w:r w:rsidR="00F1493A">
        <w:t>?</w:t>
      </w:r>
      <w:bookmarkEnd w:id="0"/>
    </w:p>
    <w:p w:rsidR="00712857" w:rsidRDefault="00F1493A">
      <w:r w:rsidRPr="00F1493A">
        <w:t>Tjenestemandspension er en ret man kan få, i forbindelse med sit arbejde. Ordningen har været meget anvendt indenfor staten, regionerne og kommunerne, og den finansieres enten på finansloven eller på arbejdsgiverens (f.eks</w:t>
      </w:r>
      <w:r>
        <w:t>.</w:t>
      </w:r>
      <w:r w:rsidRPr="00F1493A">
        <w:t>, regionernes/</w:t>
      </w:r>
      <w:bookmarkStart w:id="1" w:name="_GoBack"/>
      <w:bookmarkEnd w:id="1"/>
      <w:r w:rsidRPr="00F1493A">
        <w:t>kommunernes) budgetter.</w:t>
      </w:r>
    </w:p>
    <w:p w:rsidR="00F1493A" w:rsidRDefault="00F1493A">
      <w:r w:rsidRPr="00F1493A">
        <w:t>Ægtefæller, registrerede partnere og børn kan have ret til henholdsvis ægtefællepension og børnepension</w:t>
      </w:r>
      <w:r>
        <w:t>.</w:t>
      </w:r>
    </w:p>
    <w:p w:rsidR="00F1493A" w:rsidRDefault="00F1493A">
      <w:r w:rsidRPr="00F1493A">
        <w:t>Bemærk dog, at der er mange særregler på området, så for at beregne konkrete situationer, henvises til lovgivning og overenskomster på området</w:t>
      </w:r>
      <w:r>
        <w:t>.</w:t>
      </w:r>
    </w:p>
    <w:p w:rsidR="00F1493A" w:rsidRDefault="00F1493A"/>
    <w:p w:rsidR="0094089B" w:rsidRPr="0094089B" w:rsidRDefault="0094089B" w:rsidP="0094089B">
      <w:pPr>
        <w:pStyle w:val="Heading1"/>
      </w:pPr>
      <w:bookmarkStart w:id="2" w:name="_Toc512321362"/>
      <w:r w:rsidRPr="0094089B">
        <w:t xml:space="preserve">Om </w:t>
      </w:r>
      <w:r w:rsidR="00F1493A">
        <w:t>Tjenestemandspension</w:t>
      </w:r>
      <w:bookmarkEnd w:id="2"/>
    </w:p>
    <w:p w:rsidR="00F1493A" w:rsidRDefault="00F1493A" w:rsidP="00F1493A">
      <w:r>
        <w:t>Denne artikel giver et overblik over tjenestemandspensioner. Bemærk dog, at der er mange særregler på området, så for at beregne konkrete situationer, henvises til lovgivning og overenskomster på området. Links til disse findes i under afsnittet "Kilder". Reglerne omkring tjenestemandspension følger tjenestemandspensionsloven (TPL) og/eller en af de kommunale pensionsregulativer.</w:t>
      </w:r>
    </w:p>
    <w:p w:rsidR="00F1493A" w:rsidRDefault="00F1493A" w:rsidP="00F1493A"/>
    <w:p w:rsidR="0094089B" w:rsidRDefault="00F1493A" w:rsidP="00F1493A">
      <w:r>
        <w:t>Artiklen er udarbejdet med afsæt i TPL og Kommunernes Landsforenings (KL) overenskomst. Bemærk, at ikke alle tjenestemænd er dækket under TPL og KL, og der kan således være andre forhold der gælder netop dig. Bemærk ligeledes, at alle beløb i denne artikel er vejledende, og der tages forbehold for ændringer og ansvar</w:t>
      </w:r>
      <w:r w:rsidR="0094089B" w:rsidRPr="0094089B">
        <w:t>.</w:t>
      </w:r>
    </w:p>
    <w:p w:rsidR="00AE2CB5" w:rsidRPr="0094089B" w:rsidRDefault="00AE2CB5" w:rsidP="00AE2CB5">
      <w:pPr>
        <w:pStyle w:val="Heading1"/>
      </w:pPr>
      <w:bookmarkStart w:id="3" w:name="_Toc512321363"/>
      <w:r w:rsidRPr="0094089B">
        <w:lastRenderedPageBreak/>
        <w:t xml:space="preserve">Sådan bliver </w:t>
      </w:r>
      <w:r>
        <w:t xml:space="preserve">Tjenestemandspension </w:t>
      </w:r>
      <w:r w:rsidRPr="0094089B">
        <w:t>udregnet</w:t>
      </w:r>
      <w:bookmarkEnd w:id="3"/>
    </w:p>
    <w:p w:rsidR="00AE2CB5" w:rsidRPr="0094089B" w:rsidRDefault="00AE2CB5" w:rsidP="00AE2CB5">
      <w:r>
        <w:t>En tjenestemands ret til pension er efter tjenestemandspensionsloven (TPL) bestemt af afskedsårsag, tjenestemandspensionsgivende løn og pensionsalder (anciennitet) på pensioneringstidspunktet. Der er forskellige satser for tjenestemandspension, alt afhængigt, om man er ansat i staten eller ved regionerne/kommunerne.</w:t>
      </w:r>
    </w:p>
    <w:p w:rsidR="00AE2CB5" w:rsidRDefault="00AE2CB5" w:rsidP="00AE2CB5">
      <w:r>
        <w:t xml:space="preserve">Der foretages en årlig regulering til grundbeløbet af tjenestemandspensioner af fx </w:t>
      </w:r>
      <w:proofErr w:type="spellStart"/>
      <w:r>
        <w:t>Finansminsteriet</w:t>
      </w:r>
      <w:proofErr w:type="spellEnd"/>
      <w:r>
        <w:t xml:space="preserve"> for statslige pensioner eller KL for kommunale.</w:t>
      </w:r>
    </w:p>
    <w:p w:rsidR="00F87C2E" w:rsidRDefault="00F87C2E" w:rsidP="00F1493A">
      <w:r>
        <w:t>Hovedelementerne i udregningen af pensionsalder er</w:t>
      </w:r>
      <w:r w:rsidR="00AE2CB5">
        <w:t xml:space="preserve"> således:</w:t>
      </w:r>
    </w:p>
    <w:p w:rsidR="00F87C2E" w:rsidRDefault="00F87C2E" w:rsidP="00F87C2E">
      <w:pPr>
        <w:pStyle w:val="ListParagraph"/>
        <w:numPr>
          <w:ilvl w:val="0"/>
          <w:numId w:val="5"/>
        </w:numPr>
      </w:pPr>
      <w:r>
        <w:t>”Pensionsalder”</w:t>
      </w:r>
    </w:p>
    <w:p w:rsidR="00F87C2E" w:rsidRDefault="00F87C2E" w:rsidP="00F87C2E">
      <w:pPr>
        <w:pStyle w:val="ListParagraph"/>
        <w:numPr>
          <w:ilvl w:val="0"/>
          <w:numId w:val="5"/>
        </w:numPr>
      </w:pPr>
      <w:r>
        <w:t>Skalatrin</w:t>
      </w:r>
    </w:p>
    <w:p w:rsidR="00AE2CB5" w:rsidRDefault="00AE2CB5" w:rsidP="00F87C2E">
      <w:pPr>
        <w:pStyle w:val="ListParagraph"/>
        <w:numPr>
          <w:ilvl w:val="0"/>
          <w:numId w:val="5"/>
        </w:numPr>
      </w:pPr>
      <w:r>
        <w:t>Andet</w:t>
      </w:r>
    </w:p>
    <w:p w:rsidR="00F87C2E" w:rsidRDefault="00F87C2E" w:rsidP="00F87C2E">
      <w:pPr>
        <w:pStyle w:val="Heading2"/>
      </w:pPr>
      <w:bookmarkStart w:id="4" w:name="_Toc512321364"/>
      <w:r>
        <w:t>Pensionsalder</w:t>
      </w:r>
      <w:bookmarkEnd w:id="4"/>
    </w:p>
    <w:p w:rsidR="00F87C2E" w:rsidRDefault="00F87C2E" w:rsidP="0094089B">
      <w:r>
        <w:t>En tjenestemands pensionsalder er det antal år, i hvilket pågældende efter sit fyldte 25. år har været tjenestemand. Det er altså, i denne sammenhæng, ikke et udtryk for den alder man har, når man går på pension. Statslig pensionsalder </w:t>
      </w:r>
      <w:r>
        <w:rPr>
          <w:rStyle w:val="Emphasis"/>
        </w:rPr>
        <w:t>registreres</w:t>
      </w:r>
      <w:r>
        <w:t xml:space="preserve"> i Moderniseringsstyrelsens centrale </w:t>
      </w:r>
      <w:proofErr w:type="spellStart"/>
      <w:r>
        <w:t>pensionsalderregister</w:t>
      </w:r>
      <w:proofErr w:type="spellEnd"/>
      <w:r>
        <w:t xml:space="preserve"> (PENSAB). Alderspension og førtidspension beregnes ud fra den optjente pensionsalder på pensioneringstidspunktet. Man skal have været ansat i mindst 10 år for at være berettiget til alderspensionen. Alternativt, hvis man har en pensionsalder på mindst 3, kan man få </w:t>
      </w:r>
      <w:r w:rsidRPr="00F87C2E">
        <w:t>opsat pension</w:t>
      </w:r>
      <w:r>
        <w:t xml:space="preserve">. Man kan ikke opnå mere end 37 års pensionsalder. </w:t>
      </w:r>
    </w:p>
    <w:p w:rsidR="00F87C2E" w:rsidRPr="00F87C2E" w:rsidRDefault="00F87C2E" w:rsidP="00F87C2E">
      <w:pPr>
        <w:rPr>
          <w:b/>
          <w:bCs/>
        </w:rPr>
      </w:pPr>
      <w:r w:rsidRPr="00F87C2E">
        <w:rPr>
          <w:b/>
          <w:bCs/>
        </w:rPr>
        <w:t xml:space="preserve">Mønsteret i beregningen </w:t>
      </w:r>
      <w:r>
        <w:rPr>
          <w:b/>
          <w:bCs/>
        </w:rPr>
        <w:t xml:space="preserve">af pensionsalder </w:t>
      </w:r>
      <w:r w:rsidRPr="00F87C2E">
        <w:rPr>
          <w:b/>
          <w:bCs/>
        </w:rPr>
        <w:t>er:</w:t>
      </w:r>
    </w:p>
    <w:p w:rsidR="00F87C2E" w:rsidRPr="00F87C2E" w:rsidRDefault="00F87C2E" w:rsidP="00F87C2E">
      <w:pPr>
        <w:numPr>
          <w:ilvl w:val="0"/>
          <w:numId w:val="4"/>
        </w:numPr>
      </w:pPr>
      <w:r w:rsidRPr="00F87C2E">
        <w:t xml:space="preserve">1,75 procentpoint for hver af de første 16 </w:t>
      </w:r>
      <w:proofErr w:type="spellStart"/>
      <w:r w:rsidRPr="00F87C2E">
        <w:t>pensionsalderår</w:t>
      </w:r>
      <w:proofErr w:type="spellEnd"/>
    </w:p>
    <w:p w:rsidR="00F87C2E" w:rsidRPr="00F87C2E" w:rsidRDefault="00F87C2E" w:rsidP="00F87C2E">
      <w:pPr>
        <w:numPr>
          <w:ilvl w:val="0"/>
          <w:numId w:val="4"/>
        </w:numPr>
      </w:pPr>
      <w:r w:rsidRPr="00F87C2E">
        <w:t xml:space="preserve">1,5 procentpoint for hver af de næste 16 </w:t>
      </w:r>
      <w:proofErr w:type="spellStart"/>
      <w:r w:rsidRPr="00F87C2E">
        <w:t>pensionsalderår</w:t>
      </w:r>
      <w:proofErr w:type="spellEnd"/>
    </w:p>
    <w:p w:rsidR="00F87C2E" w:rsidRDefault="00F87C2E" w:rsidP="0094089B">
      <w:pPr>
        <w:numPr>
          <w:ilvl w:val="0"/>
          <w:numId w:val="4"/>
        </w:numPr>
      </w:pPr>
      <w:r w:rsidRPr="00F87C2E">
        <w:t xml:space="preserve">1,0 procentpoint for hver af de sidste 5 </w:t>
      </w:r>
      <w:proofErr w:type="spellStart"/>
      <w:r w:rsidRPr="00F87C2E">
        <w:t>pensionsalderår</w:t>
      </w:r>
      <w:proofErr w:type="spellEnd"/>
    </w:p>
    <w:p w:rsidR="00994C24" w:rsidRDefault="00994C24" w:rsidP="00994C24">
      <w:r>
        <w:t xml:space="preserve">Få et overblik over pensionsalder i </w:t>
      </w:r>
      <w:r>
        <w:fldChar w:fldCharType="begin"/>
      </w:r>
      <w:r>
        <w:instrText xml:space="preserve"> REF _Ref512319791 \h </w:instrText>
      </w:r>
      <w:r>
        <w:fldChar w:fldCharType="separate"/>
      </w:r>
      <w:r w:rsidR="00093EBF">
        <w:t xml:space="preserve">APPENDIX – </w:t>
      </w:r>
      <w:r w:rsidR="00093EBF" w:rsidRPr="00994C24">
        <w:rPr>
          <w:rFonts w:eastAsia="Times New Roman"/>
          <w:lang w:eastAsia="da-DK"/>
        </w:rPr>
        <w:t>Pensionsprocent</w:t>
      </w:r>
      <w:r>
        <w:fldChar w:fldCharType="end"/>
      </w:r>
      <w:r>
        <w:t>.</w:t>
      </w:r>
    </w:p>
    <w:p w:rsidR="00F87C2E" w:rsidRDefault="00F87C2E" w:rsidP="00F87C2E">
      <w:pPr>
        <w:pStyle w:val="Heading2"/>
      </w:pPr>
      <w:bookmarkStart w:id="5" w:name="_Toc512321365"/>
      <w:r>
        <w:t>Skalatrin</w:t>
      </w:r>
      <w:bookmarkEnd w:id="5"/>
    </w:p>
    <w:p w:rsidR="00F87C2E" w:rsidRDefault="00F87C2E" w:rsidP="0094089B">
      <w:r w:rsidRPr="00F87C2E">
        <w:t xml:space="preserve">Beregningen af tjenestemandspensionen tager udgangspunkt i beslutninger, enten fra Finansministeriet (for statslige tjenestemænd) eller fra overenskomster fra fx KL. </w:t>
      </w:r>
    </w:p>
    <w:p w:rsidR="00F87C2E" w:rsidRDefault="00F87C2E" w:rsidP="0094089B">
      <w:r w:rsidRPr="00F87C2E">
        <w:t xml:space="preserve">Har man optjent den maksimale pensionsalder på 37 år, beregnes tjenestemandspersonen ud fra 57 pct. af den pensionsgivende løn på det skalatrin, som den pågældende var/er indplaceret på ved pensioneringen. </w:t>
      </w:r>
    </w:p>
    <w:p w:rsidR="00F87C2E" w:rsidRDefault="00F87C2E" w:rsidP="0094089B">
      <w:r w:rsidRPr="00F87C2E">
        <w:t>Bemærk, at der er forskel på om man er tjenestemand fra det staten</w:t>
      </w:r>
      <w:r>
        <w:t xml:space="preserve"> </w:t>
      </w:r>
      <w:r w:rsidRPr="00F87C2E">
        <w:t>(&amp; den lukkede gruppe) og således sorterer under TPL, eller man er tjenestemand i regioner/kommuner, hvor man sorterer under overenskomster, f.eks. KL.</w:t>
      </w:r>
    </w:p>
    <w:p w:rsidR="00093EBF" w:rsidRDefault="002B7500">
      <w:pPr>
        <w:rPr>
          <w:rFonts w:asciiTheme="majorHAnsi" w:eastAsiaTheme="majorEastAsia" w:hAnsiTheme="majorHAnsi" w:cstheme="majorBidi"/>
          <w:color w:val="2F5496" w:themeColor="accent1" w:themeShade="BF"/>
          <w:sz w:val="32"/>
          <w:szCs w:val="32"/>
        </w:rPr>
      </w:pPr>
      <w:r>
        <w:t>Få et overblik over</w:t>
      </w:r>
      <w:r>
        <w:t xml:space="preserve"> skalatrin i </w:t>
      </w:r>
      <w:r>
        <w:fldChar w:fldCharType="begin"/>
      </w:r>
      <w:r>
        <w:instrText xml:space="preserve"> REF _Ref512319949 \h </w:instrText>
      </w:r>
      <w:r>
        <w:fldChar w:fldCharType="separate"/>
      </w:r>
      <w:r w:rsidR="00093EBF">
        <w:br w:type="page"/>
      </w:r>
    </w:p>
    <w:p w:rsidR="002B7500" w:rsidRDefault="00093EBF" w:rsidP="0094089B">
      <w:r>
        <w:t>APPENDIX – Skalatrin</w:t>
      </w:r>
      <w:r w:rsidR="002B7500">
        <w:fldChar w:fldCharType="end"/>
      </w:r>
    </w:p>
    <w:p w:rsidR="00AE2CB5" w:rsidRDefault="00AE2CB5" w:rsidP="00AE2CB5">
      <w:pPr>
        <w:pStyle w:val="Heading2"/>
      </w:pPr>
      <w:bookmarkStart w:id="6" w:name="_Toc512321366"/>
      <w:r>
        <w:t>Andet</w:t>
      </w:r>
      <w:bookmarkEnd w:id="6"/>
    </w:p>
    <w:p w:rsidR="00AE2CB5" w:rsidRDefault="00AE2CB5" w:rsidP="00AE2CB5">
      <w:r>
        <w:t xml:space="preserve">Pensioneres man, inden sit fyldte 65. år, får man et UFP (U-65) tillæg, også kaldet et </w:t>
      </w:r>
      <w:proofErr w:type="spellStart"/>
      <w:r>
        <w:t>førtidstillæg</w:t>
      </w:r>
      <w:proofErr w:type="spellEnd"/>
      <w:r>
        <w:t>. Udregning af denne tager udgangspunkt i den optjente pensionsalder. For kommunale UFP gælder det, at tillægget gives både til egen- og ægtefællepensionister og falder bort, når pensionisten når folkepensionsalderen. Tillægget, der kun afhænger af den optjente pensionsalder, er vist i X</w:t>
      </w:r>
    </w:p>
    <w:p w:rsidR="00AE2CB5" w:rsidRDefault="00AE2CB5" w:rsidP="00AE2CB5">
      <w:r>
        <w:t>Udover ovenstående findes der en del regler på området, fx:</w:t>
      </w:r>
    </w:p>
    <w:p w:rsidR="00AE2CB5" w:rsidRDefault="00AE2CB5" w:rsidP="00AE2CB5">
      <w:pPr>
        <w:pStyle w:val="ListParagraph"/>
        <w:numPr>
          <w:ilvl w:val="0"/>
          <w:numId w:val="6"/>
        </w:numPr>
      </w:pPr>
      <w:r w:rsidRPr="00AE2CB5">
        <w:t>Årsagen til afskedigelse</w:t>
      </w:r>
    </w:p>
    <w:p w:rsidR="00AE2CB5" w:rsidRDefault="00AE2CB5" w:rsidP="00AE2CB5">
      <w:pPr>
        <w:pStyle w:val="ListParagraph"/>
        <w:numPr>
          <w:ilvl w:val="0"/>
          <w:numId w:val="6"/>
        </w:numPr>
      </w:pPr>
      <w:r w:rsidRPr="00AE2CB5">
        <w:t>Om personen har haft fuld tid eller deltid</w:t>
      </w:r>
    </w:p>
    <w:p w:rsidR="00AE2CB5" w:rsidRDefault="00AE2CB5" w:rsidP="00AE2CB5">
      <w:pPr>
        <w:pStyle w:val="ListParagraph"/>
        <w:numPr>
          <w:ilvl w:val="0"/>
          <w:numId w:val="6"/>
        </w:numPr>
      </w:pPr>
      <w:r w:rsidRPr="00AE2CB5">
        <w:t>Om personen har tilkøbt pensionsalder</w:t>
      </w:r>
    </w:p>
    <w:p w:rsidR="00AE2CB5" w:rsidRDefault="00AE2CB5" w:rsidP="00AE2CB5">
      <w:pPr>
        <w:pStyle w:val="ListParagraph"/>
        <w:numPr>
          <w:ilvl w:val="0"/>
          <w:numId w:val="6"/>
        </w:numPr>
      </w:pPr>
      <w:r w:rsidRPr="00AE2CB5">
        <w:t>Opsat pension</w:t>
      </w:r>
    </w:p>
    <w:p w:rsidR="00AE2CB5" w:rsidRDefault="00AE2CB5" w:rsidP="00AE2CB5">
      <w:pPr>
        <w:pStyle w:val="ListParagraph"/>
        <w:numPr>
          <w:ilvl w:val="0"/>
          <w:numId w:val="6"/>
        </w:numPr>
      </w:pPr>
      <w:r w:rsidRPr="00AE2CB5">
        <w:t>Fratrædelsesgodtgørelse</w:t>
      </w:r>
    </w:p>
    <w:p w:rsidR="00AE2CB5" w:rsidRDefault="00AE2CB5" w:rsidP="00AE2CB5">
      <w:pPr>
        <w:pStyle w:val="ListParagraph"/>
        <w:numPr>
          <w:ilvl w:val="0"/>
          <w:numId w:val="6"/>
        </w:numPr>
      </w:pPr>
      <w:r w:rsidRPr="00AE2CB5">
        <w:t>Førtidspension</w:t>
      </w:r>
    </w:p>
    <w:p w:rsidR="00AE2CB5" w:rsidRDefault="00AE2CB5" w:rsidP="00AE2CB5">
      <w:pPr>
        <w:pStyle w:val="ListParagraph"/>
        <w:numPr>
          <w:ilvl w:val="0"/>
          <w:numId w:val="6"/>
        </w:numPr>
      </w:pPr>
      <w:proofErr w:type="spellStart"/>
      <w:r w:rsidRPr="00AE2CB5">
        <w:t>Førtidstillæg</w:t>
      </w:r>
      <w:proofErr w:type="spellEnd"/>
    </w:p>
    <w:p w:rsidR="00AE2CB5" w:rsidRDefault="00AE2CB5" w:rsidP="00AE2CB5">
      <w:pPr>
        <w:pStyle w:val="ListParagraph"/>
        <w:numPr>
          <w:ilvl w:val="0"/>
          <w:numId w:val="6"/>
        </w:numPr>
      </w:pPr>
      <w:r w:rsidRPr="00AE2CB5">
        <w:t>Ægtefællepension</w:t>
      </w:r>
      <w:r>
        <w:t xml:space="preserve"> og </w:t>
      </w:r>
      <w:r w:rsidRPr="00AE2CB5">
        <w:t>Efterindtægt</w:t>
      </w:r>
    </w:p>
    <w:p w:rsidR="00AE2CB5" w:rsidRDefault="00AE2CB5" w:rsidP="00AE2CB5">
      <w:pPr>
        <w:pStyle w:val="ListParagraph"/>
        <w:numPr>
          <w:ilvl w:val="0"/>
          <w:numId w:val="6"/>
        </w:numPr>
      </w:pPr>
      <w:r w:rsidRPr="00AE2CB5">
        <w:t>Børnepensionstillæg og Børnepension</w:t>
      </w:r>
    </w:p>
    <w:p w:rsidR="00AE2CB5" w:rsidRDefault="00AE2CB5" w:rsidP="0094089B">
      <w:r>
        <w:t xml:space="preserve">På trusthansen.dk kan du finde yderligere oplysninger på siden om </w:t>
      </w:r>
      <w:hyperlink r:id="rId6" w:history="1">
        <w:r w:rsidRPr="00AE2CB5">
          <w:rPr>
            <w:rStyle w:val="Hyperlink"/>
          </w:rPr>
          <w:t>tjenestemandspension.</w:t>
        </w:r>
      </w:hyperlink>
    </w:p>
    <w:p w:rsidR="0094089B" w:rsidRPr="0094089B" w:rsidRDefault="0094089B" w:rsidP="0094089B">
      <w:pPr>
        <w:pStyle w:val="Heading1"/>
        <w:rPr>
          <w:rFonts w:eastAsiaTheme="minorHAnsi"/>
        </w:rPr>
      </w:pPr>
      <w:bookmarkStart w:id="7" w:name="_Toc512321367"/>
      <w:r w:rsidRPr="0094089B">
        <w:rPr>
          <w:rFonts w:eastAsiaTheme="minorHAnsi"/>
        </w:rPr>
        <w:t xml:space="preserve">Eksempler på </w:t>
      </w:r>
      <w:r w:rsidR="00AE2CB5">
        <w:rPr>
          <w:rFonts w:eastAsiaTheme="minorHAnsi"/>
        </w:rPr>
        <w:t>Tjenestemandspension</w:t>
      </w:r>
      <w:bookmarkEnd w:id="7"/>
    </w:p>
    <w:p w:rsidR="00AE2CB5" w:rsidRDefault="00AE2CB5" w:rsidP="00AE2CB5">
      <w:r>
        <w:t>Har man f.eks. som statslig tjenestemand tjent kr. 350.000 årligt (TPL skalatrin 38), da man gik på pension, og har man været tjenestemand i 37 år (pensionsalder 37 medfører en pensionsprocent på 57) vil man således modtage 57% af skalatrin 38, dvs. (350.551,13 * 57%) = kr. 199.814,15 årligt, dvs. 16.651,18 om måneden.</w:t>
      </w:r>
    </w:p>
    <w:p w:rsidR="00AE2CB5" w:rsidRDefault="00AE2CB5" w:rsidP="00AE2CB5">
      <w:r>
        <w:t>Bemærk, at der er forskel på om man er tjenestemand fra det staten (&amp; den lukkede gruppe) og således sorterer under TPL, eller man er tjenestemand i regioner/kommuner, hvor man sorterer under overenskomster, f.eks. KL.</w:t>
      </w:r>
    </w:p>
    <w:p w:rsidR="0094089B" w:rsidRPr="0094089B" w:rsidRDefault="0094089B" w:rsidP="0094089B">
      <w:pPr>
        <w:pStyle w:val="Heading1"/>
      </w:pPr>
      <w:bookmarkStart w:id="8" w:name="_Toc512321368"/>
      <w:r w:rsidRPr="0094089B">
        <w:t>Statistik</w:t>
      </w:r>
      <w:r>
        <w:t xml:space="preserve"> om </w:t>
      </w:r>
      <w:r w:rsidR="00AE2CB5">
        <w:t>Tjenestemandspension</w:t>
      </w:r>
      <w:bookmarkEnd w:id="8"/>
    </w:p>
    <w:p w:rsidR="0094089B" w:rsidRPr="0094089B" w:rsidRDefault="0094089B" w:rsidP="0094089B">
      <w:r w:rsidRPr="0094089B">
        <w:t>Ved Danmarks Statistik benyttes variablen "</w:t>
      </w:r>
      <w:r w:rsidR="00994C24" w:rsidRPr="00994C24">
        <w:t xml:space="preserve"> </w:t>
      </w:r>
      <w:r w:rsidR="00994C24">
        <w:t>QTJPENS</w:t>
      </w:r>
      <w:r w:rsidRPr="0094089B">
        <w:t>", kode 2 om </w:t>
      </w:r>
      <w:r w:rsidR="00994C24">
        <w:t>Tjenestemandspension</w:t>
      </w:r>
      <w:r w:rsidRPr="0094089B">
        <w:t>.</w:t>
      </w:r>
    </w:p>
    <w:p w:rsidR="00994C24" w:rsidRPr="00994C24" w:rsidRDefault="00994C24" w:rsidP="00994C24">
      <w:r w:rsidRPr="00994C24">
        <w:t>I 201</w:t>
      </w:r>
      <w:r w:rsidR="002B7500">
        <w:t>6</w:t>
      </w:r>
      <w:r w:rsidRPr="00994C24">
        <w:t xml:space="preserve"> udbetaltes der iflg. Danmarks Statistik Tjenestemandspension til 245.738 danskere. Samtidig har 63.703 optjent retten til Tjenestemandspensionen.</w:t>
      </w:r>
    </w:p>
    <w:p w:rsidR="00994C24" w:rsidRPr="00994C24" w:rsidRDefault="00994C24" w:rsidP="00994C24">
      <w:r w:rsidRPr="00994C24">
        <w:t>Ovenstående statistik kan findes ved Danmarks Statistik:</w:t>
      </w:r>
    </w:p>
    <w:p w:rsidR="00994C24" w:rsidRPr="00994C24" w:rsidRDefault="00994C24" w:rsidP="00994C24">
      <w:pPr>
        <w:numPr>
          <w:ilvl w:val="0"/>
          <w:numId w:val="7"/>
        </w:numPr>
      </w:pPr>
      <w:hyperlink r:id="rId7" w:history="1">
        <w:r w:rsidRPr="00994C24">
          <w:rPr>
            <w:rStyle w:val="Hyperlink"/>
          </w:rPr>
          <w:t>Berettigede</w:t>
        </w:r>
      </w:hyperlink>
    </w:p>
    <w:p w:rsidR="00994C24" w:rsidRDefault="00994C24" w:rsidP="0094089B">
      <w:pPr>
        <w:numPr>
          <w:ilvl w:val="0"/>
          <w:numId w:val="7"/>
        </w:numPr>
      </w:pPr>
      <w:hyperlink r:id="rId8" w:history="1">
        <w:r w:rsidRPr="00994C24">
          <w:rPr>
            <w:rStyle w:val="Hyperlink"/>
          </w:rPr>
          <w:t>Pensionerede</w:t>
        </w:r>
      </w:hyperlink>
    </w:p>
    <w:p w:rsidR="0094089B" w:rsidRPr="0094089B" w:rsidRDefault="0094089B" w:rsidP="0094089B">
      <w:pPr>
        <w:pStyle w:val="Heading1"/>
      </w:pPr>
      <w:bookmarkStart w:id="9" w:name="_Toc512321369"/>
      <w:r w:rsidRPr="0094089B">
        <w:t>Jura</w:t>
      </w:r>
      <w:r w:rsidR="00C53886">
        <w:t xml:space="preserve"> om </w:t>
      </w:r>
      <w:r w:rsidR="00994C24">
        <w:t>Tjenestemandspension</w:t>
      </w:r>
      <w:bookmarkEnd w:id="9"/>
    </w:p>
    <w:p w:rsidR="00994C24" w:rsidRDefault="00994C24" w:rsidP="00994C24">
      <w:r>
        <w:t>Tjenestemandspension er fastsat efter lov om tjenestemandspension.</w:t>
      </w:r>
    </w:p>
    <w:p w:rsidR="0094089B" w:rsidRPr="0094089B" w:rsidRDefault="00994C24" w:rsidP="00994C24">
      <w:r>
        <w:t>Se lovbekendtgørelse ”</w:t>
      </w:r>
      <w:hyperlink r:id="rId9" w:history="1">
        <w:r w:rsidRPr="00994C24">
          <w:rPr>
            <w:rStyle w:val="Hyperlink"/>
          </w:rPr>
          <w:t>Bekendtgørelse af lov om tjenestemandspension</w:t>
        </w:r>
      </w:hyperlink>
      <w:r>
        <w:t xml:space="preserve">” </w:t>
      </w:r>
    </w:p>
    <w:p w:rsidR="0094089B" w:rsidRPr="0094089B" w:rsidRDefault="0094089B" w:rsidP="0094089B"/>
    <w:p w:rsidR="0094089B" w:rsidRDefault="00994C24" w:rsidP="00994C24">
      <w:pPr>
        <w:pStyle w:val="Heading1"/>
      </w:pPr>
      <w:bookmarkStart w:id="10" w:name="_Ref512319791"/>
      <w:bookmarkStart w:id="11" w:name="_Toc512321370"/>
      <w:r>
        <w:t xml:space="preserve">APPENDIX </w:t>
      </w:r>
      <w:r w:rsidR="00CB44E4">
        <w:t>–</w:t>
      </w:r>
      <w:r>
        <w:t xml:space="preserve"> </w:t>
      </w:r>
      <w:r w:rsidRPr="00994C24">
        <w:rPr>
          <w:rFonts w:eastAsia="Times New Roman"/>
          <w:lang w:eastAsia="da-DK"/>
        </w:rPr>
        <w:t>Pensionsprocent</w:t>
      </w:r>
      <w:bookmarkEnd w:id="10"/>
      <w:r w:rsidR="00CB44E4">
        <w:rPr>
          <w:rFonts w:eastAsia="Times New Roman"/>
          <w:lang w:eastAsia="da-DK"/>
        </w:rPr>
        <w:t xml:space="preserve"> 2017</w:t>
      </w:r>
      <w:bookmarkEnd w:id="11"/>
    </w:p>
    <w:tbl>
      <w:tblPr>
        <w:tblW w:w="4357" w:type="pct"/>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78"/>
        <w:gridCol w:w="1934"/>
        <w:gridCol w:w="841"/>
        <w:gridCol w:w="1934"/>
        <w:gridCol w:w="841"/>
        <w:gridCol w:w="1971"/>
      </w:tblGrid>
      <w:tr w:rsidR="00994C24" w:rsidRPr="00994C24" w:rsidTr="00406D98">
        <w:trPr>
          <w:tblHeader/>
          <w:tblCellSpacing w:w="37" w:type="dxa"/>
        </w:trPr>
        <w:tc>
          <w:tcPr>
            <w:tcW w:w="0" w:type="auto"/>
            <w:gridSpan w:val="6"/>
            <w:tcBorders>
              <w:top w:val="nil"/>
              <w:left w:val="nil"/>
              <w:bottom w:val="nil"/>
              <w:right w:val="nil"/>
            </w:tcBorders>
            <w:vAlign w:val="center"/>
            <w:hideMark/>
          </w:tcPr>
          <w:p w:rsidR="00994C24" w:rsidRPr="00994C24" w:rsidRDefault="00994C24" w:rsidP="00994C24">
            <w:pPr>
              <w:spacing w:after="0" w:line="240" w:lineRule="auto"/>
              <w:jc w:val="center"/>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Tabel 1: Pensionsprocent</w:t>
            </w:r>
          </w:p>
        </w:tc>
      </w:tr>
      <w:tr w:rsidR="00994C24" w:rsidRPr="00994C24" w:rsidTr="00406D98">
        <w:trPr>
          <w:tblHeade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jc w:val="center"/>
              <w:rPr>
                <w:rFonts w:ascii="Times New Roman" w:eastAsia="Times New Roman" w:hAnsi="Times New Roman" w:cs="Times New Roman"/>
                <w:b/>
                <w:bCs/>
                <w:sz w:val="24"/>
                <w:szCs w:val="24"/>
                <w:lang w:eastAsia="da-DK"/>
              </w:rPr>
            </w:pPr>
            <w:r w:rsidRPr="00994C24">
              <w:rPr>
                <w:rFonts w:ascii="Times New Roman" w:eastAsia="Times New Roman" w:hAnsi="Times New Roman" w:cs="Times New Roman"/>
                <w:b/>
                <w:bCs/>
                <w:sz w:val="24"/>
                <w:szCs w:val="24"/>
                <w:lang w:eastAsia="da-DK"/>
              </w:rPr>
              <w:t>Alder</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jc w:val="center"/>
              <w:rPr>
                <w:rFonts w:ascii="Times New Roman" w:eastAsia="Times New Roman" w:hAnsi="Times New Roman" w:cs="Times New Roman"/>
                <w:b/>
                <w:bCs/>
                <w:sz w:val="24"/>
                <w:szCs w:val="24"/>
                <w:lang w:eastAsia="da-DK"/>
              </w:rPr>
            </w:pPr>
            <w:r w:rsidRPr="00994C24">
              <w:rPr>
                <w:rFonts w:ascii="Times New Roman" w:eastAsia="Times New Roman" w:hAnsi="Times New Roman" w:cs="Times New Roman"/>
                <w:b/>
                <w:bCs/>
                <w:sz w:val="24"/>
                <w:szCs w:val="24"/>
                <w:lang w:eastAsia="da-DK"/>
              </w:rPr>
              <w:t>Pensionsprocent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jc w:val="center"/>
              <w:rPr>
                <w:rFonts w:ascii="Times New Roman" w:eastAsia="Times New Roman" w:hAnsi="Times New Roman" w:cs="Times New Roman"/>
                <w:b/>
                <w:bCs/>
                <w:sz w:val="24"/>
                <w:szCs w:val="24"/>
                <w:lang w:eastAsia="da-DK"/>
              </w:rPr>
            </w:pPr>
            <w:r w:rsidRPr="00994C24">
              <w:rPr>
                <w:rFonts w:ascii="Times New Roman" w:eastAsia="Times New Roman" w:hAnsi="Times New Roman" w:cs="Times New Roman"/>
                <w:b/>
                <w:bCs/>
                <w:sz w:val="24"/>
                <w:szCs w:val="24"/>
                <w:lang w:eastAsia="da-DK"/>
              </w:rPr>
              <w:t>Alder</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jc w:val="center"/>
              <w:rPr>
                <w:rFonts w:ascii="Times New Roman" w:eastAsia="Times New Roman" w:hAnsi="Times New Roman" w:cs="Times New Roman"/>
                <w:b/>
                <w:bCs/>
                <w:sz w:val="24"/>
                <w:szCs w:val="24"/>
                <w:lang w:eastAsia="da-DK"/>
              </w:rPr>
            </w:pPr>
            <w:r w:rsidRPr="00994C24">
              <w:rPr>
                <w:rFonts w:ascii="Times New Roman" w:eastAsia="Times New Roman" w:hAnsi="Times New Roman" w:cs="Times New Roman"/>
                <w:b/>
                <w:bCs/>
                <w:sz w:val="24"/>
                <w:szCs w:val="24"/>
                <w:lang w:eastAsia="da-DK"/>
              </w:rPr>
              <w:t>Pensionsprocent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jc w:val="center"/>
              <w:rPr>
                <w:rFonts w:ascii="Times New Roman" w:eastAsia="Times New Roman" w:hAnsi="Times New Roman" w:cs="Times New Roman"/>
                <w:b/>
                <w:bCs/>
                <w:sz w:val="24"/>
                <w:szCs w:val="24"/>
                <w:lang w:eastAsia="da-DK"/>
              </w:rPr>
            </w:pPr>
            <w:r w:rsidRPr="00994C24">
              <w:rPr>
                <w:rFonts w:ascii="Times New Roman" w:eastAsia="Times New Roman" w:hAnsi="Times New Roman" w:cs="Times New Roman"/>
                <w:b/>
                <w:bCs/>
                <w:sz w:val="24"/>
                <w:szCs w:val="24"/>
                <w:lang w:eastAsia="da-DK"/>
              </w:rPr>
              <w:t>Alder</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jc w:val="center"/>
              <w:rPr>
                <w:rFonts w:ascii="Times New Roman" w:eastAsia="Times New Roman" w:hAnsi="Times New Roman" w:cs="Times New Roman"/>
                <w:b/>
                <w:bCs/>
                <w:sz w:val="24"/>
                <w:szCs w:val="24"/>
                <w:lang w:eastAsia="da-DK"/>
              </w:rPr>
            </w:pPr>
            <w:r w:rsidRPr="00994C24">
              <w:rPr>
                <w:rFonts w:ascii="Times New Roman" w:eastAsia="Times New Roman" w:hAnsi="Times New Roman" w:cs="Times New Roman"/>
                <w:b/>
                <w:bCs/>
                <w:sz w:val="24"/>
                <w:szCs w:val="24"/>
                <w:lang w:eastAsia="da-DK"/>
              </w:rPr>
              <w:t>Pensionsprocent</w:t>
            </w:r>
          </w:p>
        </w:tc>
      </w:tr>
      <w:tr w:rsidR="00994C24" w:rsidRPr="00994C24" w:rsidTr="00406D9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24,50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44,50</w:t>
            </w:r>
          </w:p>
        </w:tc>
      </w:tr>
      <w:tr w:rsidR="00994C24" w:rsidRPr="00994C24" w:rsidTr="00406D9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26,25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46,00</w:t>
            </w:r>
          </w:p>
        </w:tc>
      </w:tr>
      <w:tr w:rsidR="00994C24" w:rsidRPr="00994C24" w:rsidTr="00406D9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47,50</w:t>
            </w:r>
          </w:p>
        </w:tc>
      </w:tr>
      <w:tr w:rsidR="00994C24" w:rsidRPr="00994C24" w:rsidTr="00406D9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49,00</w:t>
            </w:r>
          </w:p>
        </w:tc>
      </w:tr>
      <w:tr w:rsidR="00994C24" w:rsidRPr="00994C24" w:rsidTr="00406D9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8,75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50,50</w:t>
            </w:r>
          </w:p>
        </w:tc>
      </w:tr>
      <w:tr w:rsidR="00994C24" w:rsidRPr="00994C24" w:rsidTr="00406D9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52,00</w:t>
            </w:r>
          </w:p>
        </w:tc>
      </w:tr>
      <w:tr w:rsidR="00994C24" w:rsidRPr="00994C24" w:rsidTr="00406D9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12,25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53,00</w:t>
            </w:r>
          </w:p>
        </w:tc>
      </w:tr>
      <w:tr w:rsidR="00994C24" w:rsidRPr="00994C24" w:rsidTr="00406D9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35,50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54,00</w:t>
            </w:r>
          </w:p>
        </w:tc>
      </w:tr>
      <w:tr w:rsidR="00994C24" w:rsidRPr="00994C24" w:rsidTr="00406D9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15,75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55,00</w:t>
            </w:r>
          </w:p>
        </w:tc>
      </w:tr>
      <w:tr w:rsidR="00994C24" w:rsidRPr="00994C24" w:rsidTr="00406D9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17,50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38,50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56,00</w:t>
            </w:r>
          </w:p>
        </w:tc>
      </w:tr>
      <w:tr w:rsidR="00994C24" w:rsidRPr="00994C24" w:rsidTr="00406D9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57,00</w:t>
            </w:r>
          </w:p>
        </w:tc>
      </w:tr>
      <w:tr w:rsidR="00994C24" w:rsidRPr="00994C24" w:rsidTr="00406D9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 </w:t>
            </w:r>
          </w:p>
        </w:tc>
      </w:tr>
      <w:tr w:rsidR="00994C24" w:rsidRPr="00994C24" w:rsidTr="00406D9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22,75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 </w:t>
            </w:r>
          </w:p>
        </w:tc>
      </w:tr>
    </w:tbl>
    <w:p w:rsidR="00406D98" w:rsidRPr="00994C24" w:rsidRDefault="00406D98" w:rsidP="00406D98">
      <w:pPr>
        <w:spacing w:before="100" w:beforeAutospacing="1" w:after="100" w:afterAutospacing="1"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0"/>
          <w:szCs w:val="20"/>
          <w:lang w:eastAsia="da-DK"/>
        </w:rPr>
        <w:t>Bemærk:</w:t>
      </w:r>
      <w:r w:rsidRPr="00994C24">
        <w:rPr>
          <w:rFonts w:ascii="Times New Roman" w:eastAsia="Times New Roman" w:hAnsi="Times New Roman" w:cs="Times New Roman"/>
          <w:sz w:val="24"/>
          <w:szCs w:val="24"/>
          <w:lang w:eastAsia="da-DK"/>
        </w:rPr>
        <w:t> </w:t>
      </w:r>
      <w:r w:rsidRPr="00994C24">
        <w:rPr>
          <w:rFonts w:ascii="Times New Roman" w:eastAsia="Times New Roman" w:hAnsi="Times New Roman" w:cs="Times New Roman"/>
          <w:sz w:val="20"/>
          <w:szCs w:val="20"/>
          <w:lang w:eastAsia="da-DK"/>
        </w:rPr>
        <w:t>Ikke alle tjenestemænd er dækket af ovenstående aftaler. For nærmere informationer herom, kontaktes disses egne personaleorganisationer.</w:t>
      </w:r>
      <w:r w:rsidRPr="00994C24">
        <w:rPr>
          <w:rFonts w:ascii="Times New Roman" w:eastAsia="Times New Roman" w:hAnsi="Times New Roman" w:cs="Times New Roman"/>
          <w:sz w:val="24"/>
          <w:szCs w:val="24"/>
          <w:lang w:eastAsia="da-DK"/>
        </w:rPr>
        <w:t> </w:t>
      </w:r>
      <w:r w:rsidRPr="00994C24">
        <w:rPr>
          <w:rFonts w:ascii="Times New Roman" w:eastAsia="Times New Roman" w:hAnsi="Times New Roman" w:cs="Times New Roman"/>
          <w:sz w:val="20"/>
          <w:szCs w:val="20"/>
          <w:lang w:eastAsia="da-DK"/>
        </w:rPr>
        <w:t>* Til statslige pensioner beregnet på skalatrin 1-27 ydes der fra 1. april 2017 ved 37 års pensionsalder et særligt tillæg på 800 kr. årligt.</w:t>
      </w:r>
    </w:p>
    <w:p w:rsidR="00994C24" w:rsidRDefault="00994C24" w:rsidP="0094089B"/>
    <w:p w:rsidR="002C67EB" w:rsidRDefault="002C67EB">
      <w:pPr>
        <w:rPr>
          <w:rFonts w:asciiTheme="majorHAnsi" w:eastAsiaTheme="majorEastAsia" w:hAnsiTheme="majorHAnsi" w:cstheme="majorBidi"/>
          <w:color w:val="2F5496" w:themeColor="accent1" w:themeShade="BF"/>
          <w:sz w:val="32"/>
          <w:szCs w:val="32"/>
        </w:rPr>
      </w:pPr>
      <w:bookmarkStart w:id="12" w:name="_Ref512319949"/>
      <w:r>
        <w:br w:type="page"/>
      </w:r>
    </w:p>
    <w:p w:rsidR="00994C24" w:rsidRPr="0094089B" w:rsidRDefault="00994C24" w:rsidP="002B7500">
      <w:pPr>
        <w:pStyle w:val="Heading1"/>
      </w:pPr>
      <w:bookmarkStart w:id="13" w:name="_Toc512321371"/>
      <w:r>
        <w:t xml:space="preserve">APPENDIX </w:t>
      </w:r>
      <w:r w:rsidR="00CB44E4">
        <w:t>–</w:t>
      </w:r>
      <w:r>
        <w:t xml:space="preserve"> Skalatrin</w:t>
      </w:r>
      <w:bookmarkEnd w:id="12"/>
      <w:r w:rsidR="00CB44E4">
        <w:t xml:space="preserve"> 2017</w:t>
      </w:r>
      <w:bookmarkEnd w:id="13"/>
    </w:p>
    <w:tbl>
      <w:tblPr>
        <w:tblW w:w="3750" w:type="pct"/>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58"/>
        <w:gridCol w:w="2040"/>
        <w:gridCol w:w="1514"/>
        <w:gridCol w:w="2040"/>
        <w:gridCol w:w="1551"/>
      </w:tblGrid>
      <w:tr w:rsidR="00994C24" w:rsidRPr="00994C24" w:rsidTr="00994C24">
        <w:trPr>
          <w:tblCellSpacing w:w="37" w:type="dxa"/>
        </w:trPr>
        <w:tc>
          <w:tcPr>
            <w:tcW w:w="0" w:type="auto"/>
            <w:gridSpan w:val="5"/>
            <w:tcBorders>
              <w:top w:val="nil"/>
              <w:left w:val="nil"/>
              <w:bottom w:val="nil"/>
              <w:right w:val="nil"/>
            </w:tcBorders>
            <w:vAlign w:val="center"/>
            <w:hideMark/>
          </w:tcPr>
          <w:p w:rsidR="00994C24" w:rsidRPr="00994C24" w:rsidRDefault="00994C24" w:rsidP="00994C24">
            <w:pPr>
              <w:spacing w:after="0" w:line="240" w:lineRule="auto"/>
              <w:jc w:val="center"/>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Tabel 2: Pensionsgivende lønninger pr. år i kr.</w:t>
            </w:r>
          </w:p>
        </w:tc>
      </w:tr>
      <w:tr w:rsidR="00994C24" w:rsidRPr="00994C24" w:rsidTr="00994C24">
        <w:trPr>
          <w:tblCellSpacing w:w="37"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Skalatrin</w:t>
            </w:r>
          </w:p>
        </w:tc>
        <w:tc>
          <w:tcPr>
            <w:tcW w:w="2340" w:type="dxa"/>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TPL Grundbeløb 01-10-1997 (ekskl. procentregulering)</w:t>
            </w:r>
          </w:p>
        </w:tc>
        <w:tc>
          <w:tcPr>
            <w:tcW w:w="1650" w:type="dxa"/>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 xml:space="preserve">TPL Grundbeløb 2017 </w:t>
            </w:r>
            <w:proofErr w:type="spellStart"/>
            <w:r w:rsidRPr="00994C24">
              <w:rPr>
                <w:rFonts w:ascii="Times New Roman" w:eastAsia="Times New Roman" w:hAnsi="Times New Roman" w:cs="Times New Roman"/>
                <w:sz w:val="24"/>
                <w:szCs w:val="24"/>
                <w:lang w:eastAsia="da-DK"/>
              </w:rPr>
              <w:t>Reg</w:t>
            </w:r>
            <w:proofErr w:type="spellEnd"/>
            <w:r w:rsidRPr="00994C24">
              <w:rPr>
                <w:rFonts w:ascii="Times New Roman" w:eastAsia="Times New Roman" w:hAnsi="Times New Roman" w:cs="Times New Roman"/>
                <w:sz w:val="24"/>
                <w:szCs w:val="24"/>
                <w:lang w:eastAsia="da-DK"/>
              </w:rPr>
              <w:t>. pct.: 37,9206%</w:t>
            </w:r>
          </w:p>
        </w:tc>
        <w:tc>
          <w:tcPr>
            <w:tcW w:w="1560" w:type="dxa"/>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KL Grundbeløb 31-03-2000 (ekskl. procentregulering)</w:t>
            </w:r>
          </w:p>
        </w:tc>
        <w:tc>
          <w:tcPr>
            <w:tcW w:w="1455" w:type="dxa"/>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KL Grundbeløb 2017 35,7411%</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131.168,56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180.908,46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150.135,00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203.795,00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133.198,04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183.707,54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152.468,00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206.962,00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135.282,59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186.582,56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154.863,00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210.213,00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137.424,97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189.537,34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157.325,00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213.555,00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139.625,18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192.571,89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159.854,00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216.988,00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141.887,34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195.691,87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162.455,00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220.518,00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144.210,09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198.895,42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165.123,00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224.140,00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146.597,55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202.188,22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167.967,00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228.000,00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149.051,10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205.572,17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173.228,00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235.142,00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151.572,11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209.049,16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174.515,00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236.889,00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154.161,97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212.621,11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176.824,00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240.023,00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156.823,42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216.291,80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179.883,00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244.175,00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159.557,85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220.063,14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183.030,00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248.447,00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162.368,00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223.938,92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186.262,00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252.834,00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165.253,88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227.919,14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189.458,00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257.172,00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168.220,99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232.011,40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192.730,00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261.614,00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171.267,96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236.213,80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195.489,00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265.359,00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174.400,30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240.533,94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199.109,00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270.273,00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177.618,00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244.971,81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201.851,00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273.995,00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180.923,82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249.531,22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204.695,00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277.855,00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184.321,88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254.217,84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208.133,00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282.522,00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187.717,13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258.900,59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211.209,00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286.697,00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191.104,14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263.571,98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214.367,00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290.984,00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194.587,44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268.376,16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217.630,00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295.413,00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198.161,00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273.304,84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220.953,00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299.924,00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201.828,54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278.363,13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224.348,00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304.532,00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205.591,00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283.552,34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227.811,00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309.233,00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209.453,43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288.879,43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231.344,00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314.029,00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213.415,37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294.343,76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234.949,00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318.922,00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217.481,83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299.952,24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238.624,00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323.911,00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221.653,70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305.706,11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242.375,00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329.002,00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225.935,95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311.612,22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246.199,00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334.193,00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230.328,08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317.669,87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250.098,00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339.486,00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234.836,36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323.887,72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254.079,00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344.890,00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239.462,99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330.268,79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258.134,00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350.394,00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244.208,78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336.814,21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262.271,00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356.010,00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249.078,59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343.530,69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266.488,00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361.734,00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254.168,80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350.551,13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270.995,00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367.852,00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259.403,21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357.770,46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275.468,00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373.923,00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264.773,06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365.176,59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280.030,00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380.116,00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270.283,09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372.776,06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284.680,00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386.428,00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275.936,70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380.573,55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289.418,00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392.859,00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282.062,88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389.022,82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295.850,00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401.590,00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288.356,48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397.702,99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302.460,00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410.563,00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294.824,20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406.623,31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309.251,00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419.781,00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301.470,05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415.789,30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316.229,00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429.253,00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315.313,56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434.882,35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321.858,00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436.894,00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336.491,35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464.090,89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336.653,00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456.976,00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359.956,74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496.454,50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359.246,00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487.644,00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397.581,73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548.347,11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384.324,00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521.686,00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452.376,63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623.920,56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424.514,00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576.240,00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496.691,37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685.039,72</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483.044,00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655.689,00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555.757,70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766.504,35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530.364,00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719.922,00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626.695,95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864.342,81</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593.449,00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805.554,00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706.248,96</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974.062,80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669.278,00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908.485,00</w:t>
            </w:r>
          </w:p>
        </w:tc>
      </w:tr>
      <w:tr w:rsidR="00994C24" w:rsidRPr="00994C24" w:rsidTr="00994C24">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752.810,00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1.038.280,07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754.309,00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4C24" w:rsidRPr="00994C24" w:rsidRDefault="00994C24" w:rsidP="00994C24">
            <w:pPr>
              <w:spacing w:after="0"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4"/>
                <w:szCs w:val="24"/>
                <w:lang w:eastAsia="da-DK"/>
              </w:rPr>
              <w:t>1.023.907,00</w:t>
            </w:r>
          </w:p>
        </w:tc>
      </w:tr>
    </w:tbl>
    <w:p w:rsidR="00994C24" w:rsidRPr="00994C24" w:rsidRDefault="00994C24" w:rsidP="00994C24">
      <w:pPr>
        <w:spacing w:before="100" w:beforeAutospacing="1" w:after="100" w:afterAutospacing="1" w:line="240" w:lineRule="auto"/>
        <w:rPr>
          <w:rFonts w:ascii="Times New Roman" w:eastAsia="Times New Roman" w:hAnsi="Times New Roman" w:cs="Times New Roman"/>
          <w:sz w:val="24"/>
          <w:szCs w:val="24"/>
          <w:lang w:eastAsia="da-DK"/>
        </w:rPr>
      </w:pPr>
      <w:r w:rsidRPr="00994C24">
        <w:rPr>
          <w:rFonts w:ascii="Times New Roman" w:eastAsia="Times New Roman" w:hAnsi="Times New Roman" w:cs="Times New Roman"/>
          <w:sz w:val="20"/>
          <w:szCs w:val="20"/>
          <w:lang w:eastAsia="da-DK"/>
        </w:rPr>
        <w:t xml:space="preserve">Bemærk: 1) Den pensionsgivende </w:t>
      </w:r>
      <w:proofErr w:type="spellStart"/>
      <w:r w:rsidRPr="00994C24">
        <w:rPr>
          <w:rFonts w:ascii="Times New Roman" w:eastAsia="Times New Roman" w:hAnsi="Times New Roman" w:cs="Times New Roman"/>
          <w:sz w:val="20"/>
          <w:szCs w:val="20"/>
          <w:lang w:eastAsia="da-DK"/>
        </w:rPr>
        <w:t>grundsats</w:t>
      </w:r>
      <w:proofErr w:type="spellEnd"/>
      <w:r w:rsidRPr="00994C24">
        <w:rPr>
          <w:rFonts w:ascii="Times New Roman" w:eastAsia="Times New Roman" w:hAnsi="Times New Roman" w:cs="Times New Roman"/>
          <w:sz w:val="20"/>
          <w:szCs w:val="20"/>
          <w:lang w:eastAsia="da-DK"/>
        </w:rPr>
        <w:t xml:space="preserve"> for kommunale tjenestemandsstillinger, der pr. 31. marts 2005 aflønnes efter løntrin 55, forhøjes til kr. 754.309,00. Den pensionsgivende årsløn udgør herefter pr. 1. januar 2017 kr. 1.023.907,00. 2) Ovenstående </w:t>
      </w:r>
      <w:r w:rsidR="004050D0" w:rsidRPr="00994C24">
        <w:rPr>
          <w:rFonts w:ascii="Times New Roman" w:eastAsia="Times New Roman" w:hAnsi="Times New Roman" w:cs="Times New Roman"/>
          <w:sz w:val="20"/>
          <w:szCs w:val="20"/>
          <w:lang w:eastAsia="da-DK"/>
        </w:rPr>
        <w:t>KL-satser</w:t>
      </w:r>
      <w:r w:rsidRPr="00994C24">
        <w:rPr>
          <w:rFonts w:ascii="Times New Roman" w:eastAsia="Times New Roman" w:hAnsi="Times New Roman" w:cs="Times New Roman"/>
          <w:sz w:val="20"/>
          <w:szCs w:val="20"/>
          <w:lang w:eastAsia="da-DK"/>
        </w:rPr>
        <w:t xml:space="preserve"> er for kommunale tjenestemænd, der er pensioneret efter 1. april 2005 3) Til visse personer under løntrin 32, ydes et særligt tillæg, som siden 2002 har været under udfasning.</w:t>
      </w:r>
    </w:p>
    <w:p w:rsidR="0094089B" w:rsidRDefault="0094089B"/>
    <w:sectPr w:rsidR="009408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1584"/>
    <w:multiLevelType w:val="multilevel"/>
    <w:tmpl w:val="5CA6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C5773"/>
    <w:multiLevelType w:val="multilevel"/>
    <w:tmpl w:val="587C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50CF7"/>
    <w:multiLevelType w:val="hybridMultilevel"/>
    <w:tmpl w:val="3FE210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913090"/>
    <w:multiLevelType w:val="hybridMultilevel"/>
    <w:tmpl w:val="A648BB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FC66D1E"/>
    <w:multiLevelType w:val="multilevel"/>
    <w:tmpl w:val="EA4E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86096"/>
    <w:multiLevelType w:val="multilevel"/>
    <w:tmpl w:val="533A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973BA"/>
    <w:multiLevelType w:val="hybridMultilevel"/>
    <w:tmpl w:val="EA462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9B"/>
    <w:rsid w:val="00093EBF"/>
    <w:rsid w:val="001E3D63"/>
    <w:rsid w:val="002B7500"/>
    <w:rsid w:val="002C67EB"/>
    <w:rsid w:val="004050D0"/>
    <w:rsid w:val="00406D98"/>
    <w:rsid w:val="004F1368"/>
    <w:rsid w:val="00712857"/>
    <w:rsid w:val="008B74C2"/>
    <w:rsid w:val="0094089B"/>
    <w:rsid w:val="00994C24"/>
    <w:rsid w:val="00AE2CB5"/>
    <w:rsid w:val="00B772D0"/>
    <w:rsid w:val="00C53886"/>
    <w:rsid w:val="00CB44E4"/>
    <w:rsid w:val="00DD66FD"/>
    <w:rsid w:val="00F1493A"/>
    <w:rsid w:val="00F33562"/>
    <w:rsid w:val="00F539E1"/>
    <w:rsid w:val="00F87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0186"/>
  <w15:chartTrackingRefBased/>
  <w15:docId w15:val="{381CE4AC-AD40-4920-9484-E693C281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8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08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2C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89B"/>
    <w:rPr>
      <w:color w:val="0563C1" w:themeColor="hyperlink"/>
      <w:u w:val="single"/>
    </w:rPr>
  </w:style>
  <w:style w:type="character" w:styleId="UnresolvedMention">
    <w:name w:val="Unresolved Mention"/>
    <w:basedOn w:val="DefaultParagraphFont"/>
    <w:uiPriority w:val="99"/>
    <w:semiHidden/>
    <w:unhideWhenUsed/>
    <w:rsid w:val="0094089B"/>
    <w:rPr>
      <w:color w:val="808080"/>
      <w:shd w:val="clear" w:color="auto" w:fill="E6E6E6"/>
    </w:rPr>
  </w:style>
  <w:style w:type="paragraph" w:styleId="Title">
    <w:name w:val="Title"/>
    <w:basedOn w:val="Normal"/>
    <w:next w:val="Normal"/>
    <w:link w:val="TitleChar"/>
    <w:uiPriority w:val="10"/>
    <w:qFormat/>
    <w:rsid w:val="009408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8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089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4089B"/>
    <w:pPr>
      <w:outlineLvl w:val="9"/>
    </w:pPr>
    <w:rPr>
      <w:lang w:eastAsia="da-DK"/>
    </w:rPr>
  </w:style>
  <w:style w:type="character" w:customStyle="1" w:styleId="Heading2Char">
    <w:name w:val="Heading 2 Char"/>
    <w:basedOn w:val="DefaultParagraphFont"/>
    <w:link w:val="Heading2"/>
    <w:uiPriority w:val="9"/>
    <w:rsid w:val="009408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089B"/>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8B74C2"/>
    <w:pPr>
      <w:spacing w:after="100"/>
    </w:pPr>
  </w:style>
  <w:style w:type="paragraph" w:styleId="TOC2">
    <w:name w:val="toc 2"/>
    <w:basedOn w:val="Normal"/>
    <w:next w:val="Normal"/>
    <w:autoRedefine/>
    <w:uiPriority w:val="39"/>
    <w:unhideWhenUsed/>
    <w:rsid w:val="008B74C2"/>
    <w:pPr>
      <w:spacing w:after="100"/>
      <w:ind w:left="220"/>
    </w:pPr>
  </w:style>
  <w:style w:type="paragraph" w:styleId="ListParagraph">
    <w:name w:val="List Paragraph"/>
    <w:basedOn w:val="Normal"/>
    <w:uiPriority w:val="34"/>
    <w:qFormat/>
    <w:rsid w:val="00F1493A"/>
    <w:pPr>
      <w:ind w:left="720"/>
      <w:contextualSpacing/>
    </w:pPr>
  </w:style>
  <w:style w:type="character" w:styleId="Emphasis">
    <w:name w:val="Emphasis"/>
    <w:basedOn w:val="DefaultParagraphFont"/>
    <w:uiPriority w:val="20"/>
    <w:qFormat/>
    <w:rsid w:val="00F87C2E"/>
    <w:rPr>
      <w:i/>
      <w:iCs/>
    </w:rPr>
  </w:style>
  <w:style w:type="character" w:customStyle="1" w:styleId="Heading4Char">
    <w:name w:val="Heading 4 Char"/>
    <w:basedOn w:val="DefaultParagraphFont"/>
    <w:link w:val="Heading4"/>
    <w:uiPriority w:val="9"/>
    <w:semiHidden/>
    <w:rsid w:val="00AE2CB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994C2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5151">
      <w:bodyDiv w:val="1"/>
      <w:marLeft w:val="0"/>
      <w:marRight w:val="0"/>
      <w:marTop w:val="0"/>
      <w:marBottom w:val="0"/>
      <w:divBdr>
        <w:top w:val="none" w:sz="0" w:space="0" w:color="auto"/>
        <w:left w:val="none" w:sz="0" w:space="0" w:color="auto"/>
        <w:bottom w:val="none" w:sz="0" w:space="0" w:color="auto"/>
        <w:right w:val="none" w:sz="0" w:space="0" w:color="auto"/>
      </w:divBdr>
    </w:div>
    <w:div w:id="117990734">
      <w:bodyDiv w:val="1"/>
      <w:marLeft w:val="0"/>
      <w:marRight w:val="0"/>
      <w:marTop w:val="0"/>
      <w:marBottom w:val="0"/>
      <w:divBdr>
        <w:top w:val="none" w:sz="0" w:space="0" w:color="auto"/>
        <w:left w:val="none" w:sz="0" w:space="0" w:color="auto"/>
        <w:bottom w:val="none" w:sz="0" w:space="0" w:color="auto"/>
        <w:right w:val="none" w:sz="0" w:space="0" w:color="auto"/>
      </w:divBdr>
    </w:div>
    <w:div w:id="328141181">
      <w:bodyDiv w:val="1"/>
      <w:marLeft w:val="0"/>
      <w:marRight w:val="0"/>
      <w:marTop w:val="0"/>
      <w:marBottom w:val="0"/>
      <w:divBdr>
        <w:top w:val="none" w:sz="0" w:space="0" w:color="auto"/>
        <w:left w:val="none" w:sz="0" w:space="0" w:color="auto"/>
        <w:bottom w:val="none" w:sz="0" w:space="0" w:color="auto"/>
        <w:right w:val="none" w:sz="0" w:space="0" w:color="auto"/>
      </w:divBdr>
    </w:div>
    <w:div w:id="502479573">
      <w:bodyDiv w:val="1"/>
      <w:marLeft w:val="0"/>
      <w:marRight w:val="0"/>
      <w:marTop w:val="0"/>
      <w:marBottom w:val="0"/>
      <w:divBdr>
        <w:top w:val="none" w:sz="0" w:space="0" w:color="auto"/>
        <w:left w:val="none" w:sz="0" w:space="0" w:color="auto"/>
        <w:bottom w:val="none" w:sz="0" w:space="0" w:color="auto"/>
        <w:right w:val="none" w:sz="0" w:space="0" w:color="auto"/>
      </w:divBdr>
    </w:div>
    <w:div w:id="551889561">
      <w:bodyDiv w:val="1"/>
      <w:marLeft w:val="0"/>
      <w:marRight w:val="0"/>
      <w:marTop w:val="0"/>
      <w:marBottom w:val="0"/>
      <w:divBdr>
        <w:top w:val="none" w:sz="0" w:space="0" w:color="auto"/>
        <w:left w:val="none" w:sz="0" w:space="0" w:color="auto"/>
        <w:bottom w:val="none" w:sz="0" w:space="0" w:color="auto"/>
        <w:right w:val="none" w:sz="0" w:space="0" w:color="auto"/>
      </w:divBdr>
      <w:divsChild>
        <w:div w:id="1659067656">
          <w:marLeft w:val="0"/>
          <w:marRight w:val="0"/>
          <w:marTop w:val="0"/>
          <w:marBottom w:val="0"/>
          <w:divBdr>
            <w:top w:val="none" w:sz="0" w:space="0" w:color="auto"/>
            <w:left w:val="none" w:sz="0" w:space="0" w:color="auto"/>
            <w:bottom w:val="none" w:sz="0" w:space="0" w:color="auto"/>
            <w:right w:val="none" w:sz="0" w:space="0" w:color="auto"/>
          </w:divBdr>
        </w:div>
      </w:divsChild>
    </w:div>
    <w:div w:id="1131094031">
      <w:bodyDiv w:val="1"/>
      <w:marLeft w:val="0"/>
      <w:marRight w:val="0"/>
      <w:marTop w:val="0"/>
      <w:marBottom w:val="0"/>
      <w:divBdr>
        <w:top w:val="none" w:sz="0" w:space="0" w:color="auto"/>
        <w:left w:val="none" w:sz="0" w:space="0" w:color="auto"/>
        <w:bottom w:val="none" w:sz="0" w:space="0" w:color="auto"/>
        <w:right w:val="none" w:sz="0" w:space="0" w:color="auto"/>
      </w:divBdr>
    </w:div>
    <w:div w:id="1151022443">
      <w:bodyDiv w:val="1"/>
      <w:marLeft w:val="0"/>
      <w:marRight w:val="0"/>
      <w:marTop w:val="0"/>
      <w:marBottom w:val="0"/>
      <w:divBdr>
        <w:top w:val="none" w:sz="0" w:space="0" w:color="auto"/>
        <w:left w:val="none" w:sz="0" w:space="0" w:color="auto"/>
        <w:bottom w:val="none" w:sz="0" w:space="0" w:color="auto"/>
        <w:right w:val="none" w:sz="0" w:space="0" w:color="auto"/>
      </w:divBdr>
    </w:div>
    <w:div w:id="1183783504">
      <w:bodyDiv w:val="1"/>
      <w:marLeft w:val="0"/>
      <w:marRight w:val="0"/>
      <w:marTop w:val="0"/>
      <w:marBottom w:val="0"/>
      <w:divBdr>
        <w:top w:val="none" w:sz="0" w:space="0" w:color="auto"/>
        <w:left w:val="none" w:sz="0" w:space="0" w:color="auto"/>
        <w:bottom w:val="none" w:sz="0" w:space="0" w:color="auto"/>
        <w:right w:val="none" w:sz="0" w:space="0" w:color="auto"/>
      </w:divBdr>
    </w:div>
    <w:div w:id="1198542695">
      <w:bodyDiv w:val="1"/>
      <w:marLeft w:val="0"/>
      <w:marRight w:val="0"/>
      <w:marTop w:val="0"/>
      <w:marBottom w:val="0"/>
      <w:divBdr>
        <w:top w:val="none" w:sz="0" w:space="0" w:color="auto"/>
        <w:left w:val="none" w:sz="0" w:space="0" w:color="auto"/>
        <w:bottom w:val="none" w:sz="0" w:space="0" w:color="auto"/>
        <w:right w:val="none" w:sz="0" w:space="0" w:color="auto"/>
      </w:divBdr>
    </w:div>
    <w:div w:id="1395080459">
      <w:bodyDiv w:val="1"/>
      <w:marLeft w:val="0"/>
      <w:marRight w:val="0"/>
      <w:marTop w:val="0"/>
      <w:marBottom w:val="0"/>
      <w:divBdr>
        <w:top w:val="none" w:sz="0" w:space="0" w:color="auto"/>
        <w:left w:val="none" w:sz="0" w:space="0" w:color="auto"/>
        <w:bottom w:val="none" w:sz="0" w:space="0" w:color="auto"/>
        <w:right w:val="none" w:sz="0" w:space="0" w:color="auto"/>
      </w:divBdr>
    </w:div>
    <w:div w:id="1420980184">
      <w:bodyDiv w:val="1"/>
      <w:marLeft w:val="0"/>
      <w:marRight w:val="0"/>
      <w:marTop w:val="0"/>
      <w:marBottom w:val="0"/>
      <w:divBdr>
        <w:top w:val="none" w:sz="0" w:space="0" w:color="auto"/>
        <w:left w:val="none" w:sz="0" w:space="0" w:color="auto"/>
        <w:bottom w:val="none" w:sz="0" w:space="0" w:color="auto"/>
        <w:right w:val="none" w:sz="0" w:space="0" w:color="auto"/>
      </w:divBdr>
    </w:div>
    <w:div w:id="1618367438">
      <w:bodyDiv w:val="1"/>
      <w:marLeft w:val="0"/>
      <w:marRight w:val="0"/>
      <w:marTop w:val="0"/>
      <w:marBottom w:val="0"/>
      <w:divBdr>
        <w:top w:val="none" w:sz="0" w:space="0" w:color="auto"/>
        <w:left w:val="none" w:sz="0" w:space="0" w:color="auto"/>
        <w:bottom w:val="none" w:sz="0" w:space="0" w:color="auto"/>
        <w:right w:val="none" w:sz="0" w:space="0" w:color="auto"/>
      </w:divBdr>
      <w:divsChild>
        <w:div w:id="1009678320">
          <w:marLeft w:val="0"/>
          <w:marRight w:val="0"/>
          <w:marTop w:val="0"/>
          <w:marBottom w:val="0"/>
          <w:divBdr>
            <w:top w:val="none" w:sz="0" w:space="0" w:color="auto"/>
            <w:left w:val="none" w:sz="0" w:space="0" w:color="auto"/>
            <w:bottom w:val="none" w:sz="0" w:space="0" w:color="auto"/>
            <w:right w:val="none" w:sz="0" w:space="0" w:color="auto"/>
          </w:divBdr>
        </w:div>
      </w:divsChild>
    </w:div>
    <w:div w:id="1708022924">
      <w:bodyDiv w:val="1"/>
      <w:marLeft w:val="0"/>
      <w:marRight w:val="0"/>
      <w:marTop w:val="0"/>
      <w:marBottom w:val="0"/>
      <w:divBdr>
        <w:top w:val="none" w:sz="0" w:space="0" w:color="auto"/>
        <w:left w:val="none" w:sz="0" w:space="0" w:color="auto"/>
        <w:bottom w:val="none" w:sz="0" w:space="0" w:color="auto"/>
        <w:right w:val="none" w:sz="0" w:space="0" w:color="auto"/>
      </w:divBdr>
    </w:div>
    <w:div w:id="1746339621">
      <w:bodyDiv w:val="1"/>
      <w:marLeft w:val="0"/>
      <w:marRight w:val="0"/>
      <w:marTop w:val="0"/>
      <w:marBottom w:val="0"/>
      <w:divBdr>
        <w:top w:val="none" w:sz="0" w:space="0" w:color="auto"/>
        <w:left w:val="none" w:sz="0" w:space="0" w:color="auto"/>
        <w:bottom w:val="none" w:sz="0" w:space="0" w:color="auto"/>
        <w:right w:val="none" w:sz="0" w:space="0" w:color="auto"/>
      </w:divBdr>
    </w:div>
    <w:div w:id="1820465322">
      <w:bodyDiv w:val="1"/>
      <w:marLeft w:val="0"/>
      <w:marRight w:val="0"/>
      <w:marTop w:val="0"/>
      <w:marBottom w:val="0"/>
      <w:divBdr>
        <w:top w:val="none" w:sz="0" w:space="0" w:color="auto"/>
        <w:left w:val="none" w:sz="0" w:space="0" w:color="auto"/>
        <w:bottom w:val="none" w:sz="0" w:space="0" w:color="auto"/>
        <w:right w:val="none" w:sz="0" w:space="0" w:color="auto"/>
      </w:divBdr>
    </w:div>
    <w:div w:id="1875534798">
      <w:bodyDiv w:val="1"/>
      <w:marLeft w:val="0"/>
      <w:marRight w:val="0"/>
      <w:marTop w:val="0"/>
      <w:marBottom w:val="0"/>
      <w:divBdr>
        <w:top w:val="none" w:sz="0" w:space="0" w:color="auto"/>
        <w:left w:val="none" w:sz="0" w:space="0" w:color="auto"/>
        <w:bottom w:val="none" w:sz="0" w:space="0" w:color="auto"/>
        <w:right w:val="none" w:sz="0" w:space="0" w:color="auto"/>
      </w:divBdr>
    </w:div>
    <w:div w:id="1949073218">
      <w:bodyDiv w:val="1"/>
      <w:marLeft w:val="0"/>
      <w:marRight w:val="0"/>
      <w:marTop w:val="0"/>
      <w:marBottom w:val="0"/>
      <w:divBdr>
        <w:top w:val="none" w:sz="0" w:space="0" w:color="auto"/>
        <w:left w:val="none" w:sz="0" w:space="0" w:color="auto"/>
        <w:bottom w:val="none" w:sz="0" w:space="0" w:color="auto"/>
        <w:right w:val="none" w:sz="0" w:space="0" w:color="auto"/>
      </w:divBdr>
    </w:div>
    <w:div w:id="1973514978">
      <w:bodyDiv w:val="1"/>
      <w:marLeft w:val="0"/>
      <w:marRight w:val="0"/>
      <w:marTop w:val="0"/>
      <w:marBottom w:val="0"/>
      <w:divBdr>
        <w:top w:val="none" w:sz="0" w:space="0" w:color="auto"/>
        <w:left w:val="none" w:sz="0" w:space="0" w:color="auto"/>
        <w:bottom w:val="none" w:sz="0" w:space="0" w:color="auto"/>
        <w:right w:val="none" w:sz="0" w:space="0" w:color="auto"/>
      </w:divBdr>
    </w:div>
    <w:div w:id="1992829029">
      <w:bodyDiv w:val="1"/>
      <w:marLeft w:val="0"/>
      <w:marRight w:val="0"/>
      <w:marTop w:val="0"/>
      <w:marBottom w:val="0"/>
      <w:divBdr>
        <w:top w:val="none" w:sz="0" w:space="0" w:color="auto"/>
        <w:left w:val="none" w:sz="0" w:space="0" w:color="auto"/>
        <w:bottom w:val="none" w:sz="0" w:space="0" w:color="auto"/>
        <w:right w:val="none" w:sz="0" w:space="0" w:color="auto"/>
      </w:divBdr>
    </w:div>
    <w:div w:id="2005812293">
      <w:bodyDiv w:val="1"/>
      <w:marLeft w:val="0"/>
      <w:marRight w:val="0"/>
      <w:marTop w:val="0"/>
      <w:marBottom w:val="0"/>
      <w:divBdr>
        <w:top w:val="none" w:sz="0" w:space="0" w:color="auto"/>
        <w:left w:val="none" w:sz="0" w:space="0" w:color="auto"/>
        <w:bottom w:val="none" w:sz="0" w:space="0" w:color="auto"/>
        <w:right w:val="none" w:sz="0" w:space="0" w:color="auto"/>
      </w:divBdr>
    </w:div>
    <w:div w:id="20208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banken.dk/TJEN01" TargetMode="External"/><Relationship Id="rId3" Type="http://schemas.openxmlformats.org/officeDocument/2006/relationships/styles" Target="styles.xml"/><Relationship Id="rId7" Type="http://schemas.openxmlformats.org/officeDocument/2006/relationships/hyperlink" Target="http://www.statistikbanken.dk/TJEN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rusthansen.dk/pension/tjenestemandspens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tsinformation.dk/Forms/R0710.aspx?id=18992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87FA-0553-41DF-BF56-AA347149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1529</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Tjenestemandspension</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Tjenestemandspension</dc:title>
  <dc:subject/>
  <dc:creator>Michael Trust Hansen</dc:creator>
  <cp:keywords>Tjenestemandspension</cp:keywords>
  <dc:description/>
  <cp:lastModifiedBy>Michael Trust Hansen</cp:lastModifiedBy>
  <cp:revision>4</cp:revision>
  <cp:lastPrinted>2018-04-24T06:20:00Z</cp:lastPrinted>
  <dcterms:created xsi:type="dcterms:W3CDTF">2018-04-24T06:19:00Z</dcterms:created>
  <dcterms:modified xsi:type="dcterms:W3CDTF">2018-04-24T06:21:00Z</dcterms:modified>
</cp:coreProperties>
</file>