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7EB" w:rsidRPr="002C67EB" w:rsidRDefault="00184938" w:rsidP="002C67EB">
      <w:r w:rsidRPr="00184938">
        <w:rPr>
          <w:rFonts w:asciiTheme="majorHAnsi" w:eastAsiaTheme="majorEastAsia" w:hAnsiTheme="majorHAnsi" w:cstheme="majorBidi"/>
          <w:spacing w:val="-10"/>
          <w:kern w:val="28"/>
          <w:sz w:val="56"/>
          <w:szCs w:val="56"/>
        </w:rPr>
        <w:t>Tillægsprocent</w:t>
      </w:r>
    </w:p>
    <w:sdt>
      <w:sdtPr>
        <w:rPr>
          <w:rFonts w:asciiTheme="minorHAnsi" w:eastAsiaTheme="minorHAnsi" w:hAnsiTheme="minorHAnsi" w:cstheme="minorBidi"/>
          <w:color w:val="auto"/>
          <w:sz w:val="22"/>
          <w:szCs w:val="22"/>
          <w:lang w:eastAsia="en-US"/>
        </w:rPr>
        <w:id w:val="-1847092943"/>
        <w:docPartObj>
          <w:docPartGallery w:val="Table of Contents"/>
          <w:docPartUnique/>
        </w:docPartObj>
      </w:sdtPr>
      <w:sdtEndPr>
        <w:rPr>
          <w:b/>
          <w:bCs/>
        </w:rPr>
      </w:sdtEndPr>
      <w:sdtContent>
        <w:p w:rsidR="0094089B" w:rsidRPr="00F33562" w:rsidRDefault="0094089B">
          <w:pPr>
            <w:pStyle w:val="TOCHeading"/>
          </w:pPr>
          <w:r w:rsidRPr="00F33562">
            <w:t>Indhold</w:t>
          </w:r>
        </w:p>
        <w:p w:rsidR="00277319" w:rsidRDefault="0094089B">
          <w:pPr>
            <w:pStyle w:val="TOC1"/>
            <w:tabs>
              <w:tab w:val="right" w:leader="dot" w:pos="9628"/>
            </w:tabs>
            <w:rPr>
              <w:rFonts w:eastAsiaTheme="minorEastAsia"/>
              <w:noProof/>
              <w:lang w:eastAsia="da-DK"/>
            </w:rPr>
          </w:pPr>
          <w:r>
            <w:fldChar w:fldCharType="begin"/>
          </w:r>
          <w:r w:rsidRPr="0094089B">
            <w:rPr>
              <w:lang w:val="en-US"/>
            </w:rPr>
            <w:instrText xml:space="preserve"> TOC \o "1-3" \h \z \u </w:instrText>
          </w:r>
          <w:r>
            <w:fldChar w:fldCharType="separate"/>
          </w:r>
          <w:hyperlink w:anchor="_Toc512339615" w:history="1">
            <w:r w:rsidR="00277319" w:rsidRPr="00C474A9">
              <w:rPr>
                <w:rStyle w:val="Hyperlink"/>
                <w:noProof/>
              </w:rPr>
              <w:t>Hvad er Tillægsprocent?</w:t>
            </w:r>
            <w:r w:rsidR="00277319">
              <w:rPr>
                <w:noProof/>
                <w:webHidden/>
              </w:rPr>
              <w:tab/>
            </w:r>
            <w:r w:rsidR="00277319">
              <w:rPr>
                <w:noProof/>
                <w:webHidden/>
              </w:rPr>
              <w:fldChar w:fldCharType="begin"/>
            </w:r>
            <w:r w:rsidR="00277319">
              <w:rPr>
                <w:noProof/>
                <w:webHidden/>
              </w:rPr>
              <w:instrText xml:space="preserve"> PAGEREF _Toc512339615 \h </w:instrText>
            </w:r>
            <w:r w:rsidR="00277319">
              <w:rPr>
                <w:noProof/>
                <w:webHidden/>
              </w:rPr>
            </w:r>
            <w:r w:rsidR="00277319">
              <w:rPr>
                <w:noProof/>
                <w:webHidden/>
              </w:rPr>
              <w:fldChar w:fldCharType="separate"/>
            </w:r>
            <w:r w:rsidR="00083FC9">
              <w:rPr>
                <w:noProof/>
                <w:webHidden/>
              </w:rPr>
              <w:t>1</w:t>
            </w:r>
            <w:r w:rsidR="00277319">
              <w:rPr>
                <w:noProof/>
                <w:webHidden/>
              </w:rPr>
              <w:fldChar w:fldCharType="end"/>
            </w:r>
          </w:hyperlink>
        </w:p>
        <w:p w:rsidR="00277319" w:rsidRDefault="00277319">
          <w:pPr>
            <w:pStyle w:val="TOC1"/>
            <w:tabs>
              <w:tab w:val="right" w:leader="dot" w:pos="9628"/>
            </w:tabs>
            <w:rPr>
              <w:rFonts w:eastAsiaTheme="minorEastAsia"/>
              <w:noProof/>
              <w:lang w:eastAsia="da-DK"/>
            </w:rPr>
          </w:pPr>
          <w:hyperlink w:anchor="_Toc512339616" w:history="1">
            <w:r w:rsidRPr="00C474A9">
              <w:rPr>
                <w:rStyle w:val="Hyperlink"/>
                <w:noProof/>
              </w:rPr>
              <w:t>Om Tillægsprocent</w:t>
            </w:r>
            <w:r>
              <w:rPr>
                <w:noProof/>
                <w:webHidden/>
              </w:rPr>
              <w:tab/>
            </w:r>
            <w:r>
              <w:rPr>
                <w:noProof/>
                <w:webHidden/>
              </w:rPr>
              <w:fldChar w:fldCharType="begin"/>
            </w:r>
            <w:r>
              <w:rPr>
                <w:noProof/>
                <w:webHidden/>
              </w:rPr>
              <w:instrText xml:space="preserve"> PAGEREF _Toc512339616 \h </w:instrText>
            </w:r>
            <w:r>
              <w:rPr>
                <w:noProof/>
                <w:webHidden/>
              </w:rPr>
            </w:r>
            <w:r>
              <w:rPr>
                <w:noProof/>
                <w:webHidden/>
              </w:rPr>
              <w:fldChar w:fldCharType="separate"/>
            </w:r>
            <w:r w:rsidR="00083FC9">
              <w:rPr>
                <w:noProof/>
                <w:webHidden/>
              </w:rPr>
              <w:t>1</w:t>
            </w:r>
            <w:r>
              <w:rPr>
                <w:noProof/>
                <w:webHidden/>
              </w:rPr>
              <w:fldChar w:fldCharType="end"/>
            </w:r>
          </w:hyperlink>
        </w:p>
        <w:p w:rsidR="00277319" w:rsidRDefault="00277319">
          <w:pPr>
            <w:pStyle w:val="TOC1"/>
            <w:tabs>
              <w:tab w:val="right" w:leader="dot" w:pos="9628"/>
            </w:tabs>
            <w:rPr>
              <w:rFonts w:eastAsiaTheme="minorEastAsia"/>
              <w:noProof/>
              <w:lang w:eastAsia="da-DK"/>
            </w:rPr>
          </w:pPr>
          <w:hyperlink w:anchor="_Toc512339617" w:history="1">
            <w:r w:rsidRPr="00C474A9">
              <w:rPr>
                <w:rStyle w:val="Hyperlink"/>
                <w:noProof/>
              </w:rPr>
              <w:t>Sådan bliver Tillægsprocent udregnet</w:t>
            </w:r>
            <w:r>
              <w:rPr>
                <w:noProof/>
                <w:webHidden/>
              </w:rPr>
              <w:tab/>
            </w:r>
            <w:r>
              <w:rPr>
                <w:noProof/>
                <w:webHidden/>
              </w:rPr>
              <w:fldChar w:fldCharType="begin"/>
            </w:r>
            <w:r>
              <w:rPr>
                <w:noProof/>
                <w:webHidden/>
              </w:rPr>
              <w:instrText xml:space="preserve"> PAGEREF _Toc512339617 \h </w:instrText>
            </w:r>
            <w:r>
              <w:rPr>
                <w:noProof/>
                <w:webHidden/>
              </w:rPr>
            </w:r>
            <w:r>
              <w:rPr>
                <w:noProof/>
                <w:webHidden/>
              </w:rPr>
              <w:fldChar w:fldCharType="separate"/>
            </w:r>
            <w:r w:rsidR="00083FC9">
              <w:rPr>
                <w:noProof/>
                <w:webHidden/>
              </w:rPr>
              <w:t>2</w:t>
            </w:r>
            <w:r>
              <w:rPr>
                <w:noProof/>
                <w:webHidden/>
              </w:rPr>
              <w:fldChar w:fldCharType="end"/>
            </w:r>
          </w:hyperlink>
        </w:p>
        <w:p w:rsidR="00277319" w:rsidRDefault="00277319">
          <w:pPr>
            <w:pStyle w:val="TOC1"/>
            <w:tabs>
              <w:tab w:val="right" w:leader="dot" w:pos="9628"/>
            </w:tabs>
            <w:rPr>
              <w:rFonts w:eastAsiaTheme="minorEastAsia"/>
              <w:noProof/>
              <w:lang w:eastAsia="da-DK"/>
            </w:rPr>
          </w:pPr>
          <w:hyperlink w:anchor="_Toc512339618" w:history="1">
            <w:r w:rsidRPr="00C474A9">
              <w:rPr>
                <w:rStyle w:val="Hyperlink"/>
                <w:noProof/>
              </w:rPr>
              <w:t>Eksempler på Tillægsprocent</w:t>
            </w:r>
            <w:r>
              <w:rPr>
                <w:noProof/>
                <w:webHidden/>
              </w:rPr>
              <w:tab/>
            </w:r>
            <w:r>
              <w:rPr>
                <w:noProof/>
                <w:webHidden/>
              </w:rPr>
              <w:fldChar w:fldCharType="begin"/>
            </w:r>
            <w:r>
              <w:rPr>
                <w:noProof/>
                <w:webHidden/>
              </w:rPr>
              <w:instrText xml:space="preserve"> PAGEREF _Toc512339618 \h </w:instrText>
            </w:r>
            <w:r>
              <w:rPr>
                <w:noProof/>
                <w:webHidden/>
              </w:rPr>
            </w:r>
            <w:r>
              <w:rPr>
                <w:noProof/>
                <w:webHidden/>
              </w:rPr>
              <w:fldChar w:fldCharType="separate"/>
            </w:r>
            <w:r w:rsidR="00083FC9">
              <w:rPr>
                <w:noProof/>
                <w:webHidden/>
              </w:rPr>
              <w:t>3</w:t>
            </w:r>
            <w:r>
              <w:rPr>
                <w:noProof/>
                <w:webHidden/>
              </w:rPr>
              <w:fldChar w:fldCharType="end"/>
            </w:r>
          </w:hyperlink>
        </w:p>
        <w:p w:rsidR="00277319" w:rsidRDefault="00277319">
          <w:pPr>
            <w:pStyle w:val="TOC1"/>
            <w:tabs>
              <w:tab w:val="right" w:leader="dot" w:pos="9628"/>
            </w:tabs>
            <w:rPr>
              <w:rFonts w:eastAsiaTheme="minorEastAsia"/>
              <w:noProof/>
              <w:lang w:eastAsia="da-DK"/>
            </w:rPr>
          </w:pPr>
          <w:hyperlink w:anchor="_Toc512339619" w:history="1">
            <w:r w:rsidRPr="00C474A9">
              <w:rPr>
                <w:rStyle w:val="Hyperlink"/>
                <w:noProof/>
              </w:rPr>
              <w:t>Statistik om Tillægsprocent</w:t>
            </w:r>
            <w:r>
              <w:rPr>
                <w:noProof/>
                <w:webHidden/>
              </w:rPr>
              <w:tab/>
            </w:r>
            <w:r>
              <w:rPr>
                <w:noProof/>
                <w:webHidden/>
              </w:rPr>
              <w:fldChar w:fldCharType="begin"/>
            </w:r>
            <w:r>
              <w:rPr>
                <w:noProof/>
                <w:webHidden/>
              </w:rPr>
              <w:instrText xml:space="preserve"> PAGEREF _Toc512339619 \h </w:instrText>
            </w:r>
            <w:r>
              <w:rPr>
                <w:noProof/>
                <w:webHidden/>
              </w:rPr>
            </w:r>
            <w:r>
              <w:rPr>
                <w:noProof/>
                <w:webHidden/>
              </w:rPr>
              <w:fldChar w:fldCharType="separate"/>
            </w:r>
            <w:r w:rsidR="00083FC9">
              <w:rPr>
                <w:noProof/>
                <w:webHidden/>
              </w:rPr>
              <w:t>5</w:t>
            </w:r>
            <w:r>
              <w:rPr>
                <w:noProof/>
                <w:webHidden/>
              </w:rPr>
              <w:fldChar w:fldCharType="end"/>
            </w:r>
          </w:hyperlink>
        </w:p>
        <w:p w:rsidR="00277319" w:rsidRDefault="00277319">
          <w:pPr>
            <w:pStyle w:val="TOC1"/>
            <w:tabs>
              <w:tab w:val="right" w:leader="dot" w:pos="9628"/>
            </w:tabs>
            <w:rPr>
              <w:rFonts w:eastAsiaTheme="minorEastAsia"/>
              <w:noProof/>
              <w:lang w:eastAsia="da-DK"/>
            </w:rPr>
          </w:pPr>
          <w:hyperlink w:anchor="_Toc512339620" w:history="1">
            <w:r w:rsidRPr="00C474A9">
              <w:rPr>
                <w:rStyle w:val="Hyperlink"/>
                <w:noProof/>
              </w:rPr>
              <w:t>Jura om Tillægsprocent</w:t>
            </w:r>
            <w:r>
              <w:rPr>
                <w:noProof/>
                <w:webHidden/>
              </w:rPr>
              <w:tab/>
            </w:r>
            <w:r>
              <w:rPr>
                <w:noProof/>
                <w:webHidden/>
              </w:rPr>
              <w:fldChar w:fldCharType="begin"/>
            </w:r>
            <w:r>
              <w:rPr>
                <w:noProof/>
                <w:webHidden/>
              </w:rPr>
              <w:instrText xml:space="preserve"> PAGEREF _Toc512339620 \h </w:instrText>
            </w:r>
            <w:r>
              <w:rPr>
                <w:noProof/>
                <w:webHidden/>
              </w:rPr>
            </w:r>
            <w:r>
              <w:rPr>
                <w:noProof/>
                <w:webHidden/>
              </w:rPr>
              <w:fldChar w:fldCharType="separate"/>
            </w:r>
            <w:r w:rsidR="00083FC9">
              <w:rPr>
                <w:noProof/>
                <w:webHidden/>
              </w:rPr>
              <w:t>5</w:t>
            </w:r>
            <w:r>
              <w:rPr>
                <w:noProof/>
                <w:webHidden/>
              </w:rPr>
              <w:fldChar w:fldCharType="end"/>
            </w:r>
          </w:hyperlink>
        </w:p>
        <w:p w:rsidR="00277319" w:rsidRDefault="00277319">
          <w:pPr>
            <w:pStyle w:val="TOC1"/>
            <w:tabs>
              <w:tab w:val="right" w:leader="dot" w:pos="9628"/>
            </w:tabs>
            <w:rPr>
              <w:rFonts w:eastAsiaTheme="minorEastAsia"/>
              <w:noProof/>
              <w:lang w:eastAsia="da-DK"/>
            </w:rPr>
          </w:pPr>
          <w:hyperlink w:anchor="_Toc512339621" w:history="1">
            <w:r w:rsidRPr="00C474A9">
              <w:rPr>
                <w:rStyle w:val="Hyperlink"/>
                <w:noProof/>
              </w:rPr>
              <w:t>Yderligere information</w:t>
            </w:r>
            <w:r>
              <w:rPr>
                <w:noProof/>
                <w:webHidden/>
              </w:rPr>
              <w:tab/>
            </w:r>
            <w:r>
              <w:rPr>
                <w:noProof/>
                <w:webHidden/>
              </w:rPr>
              <w:fldChar w:fldCharType="begin"/>
            </w:r>
            <w:r>
              <w:rPr>
                <w:noProof/>
                <w:webHidden/>
              </w:rPr>
              <w:instrText xml:space="preserve"> PAGEREF _Toc512339621 \h </w:instrText>
            </w:r>
            <w:r>
              <w:rPr>
                <w:noProof/>
                <w:webHidden/>
              </w:rPr>
            </w:r>
            <w:r>
              <w:rPr>
                <w:noProof/>
                <w:webHidden/>
              </w:rPr>
              <w:fldChar w:fldCharType="separate"/>
            </w:r>
            <w:r w:rsidR="00083FC9">
              <w:rPr>
                <w:noProof/>
                <w:webHidden/>
              </w:rPr>
              <w:t>5</w:t>
            </w:r>
            <w:r>
              <w:rPr>
                <w:noProof/>
                <w:webHidden/>
              </w:rPr>
              <w:fldChar w:fldCharType="end"/>
            </w:r>
          </w:hyperlink>
        </w:p>
        <w:p w:rsidR="0094089B" w:rsidRPr="0094089B" w:rsidRDefault="0094089B">
          <w:pPr>
            <w:rPr>
              <w:lang w:val="en-US"/>
            </w:rPr>
          </w:pPr>
          <w:r>
            <w:rPr>
              <w:b/>
              <w:bCs/>
            </w:rPr>
            <w:fldChar w:fldCharType="end"/>
          </w:r>
        </w:p>
      </w:sdtContent>
    </w:sdt>
    <w:p w:rsidR="0094089B" w:rsidRPr="0094089B" w:rsidRDefault="0094089B" w:rsidP="0094089B">
      <w:pPr>
        <w:pStyle w:val="Heading1"/>
      </w:pPr>
      <w:bookmarkStart w:id="0" w:name="_Toc512339615"/>
      <w:r w:rsidRPr="0094089B">
        <w:t xml:space="preserve">Hvad er </w:t>
      </w:r>
      <w:r w:rsidR="00184938">
        <w:t>Tillægsprocent</w:t>
      </w:r>
      <w:r w:rsidR="00F1493A">
        <w:t>?</w:t>
      </w:r>
      <w:bookmarkEnd w:id="0"/>
    </w:p>
    <w:p w:rsidR="00184938" w:rsidRDefault="00184938" w:rsidP="00184938">
      <w:r w:rsidRPr="00184938">
        <w:t xml:space="preserve">Folkepensionen kan suppleres med ekstra tillæg ved siden af grundbeløbet og pensionstillægget. Disse tillæg udgøres af helbredstillæg, ældrecheck, personligt tillæg og varmetillæg. </w:t>
      </w:r>
    </w:p>
    <w:p w:rsidR="00F1493A" w:rsidRDefault="00184938" w:rsidP="00184938">
      <w:r w:rsidRPr="00184938">
        <w:t>For at være berettiget til disse tillæg skal man have en tillægsprocent der er større end nul. Tilskudsbeløbet på nævnte tillæg modsvarer nøjagtigt tillægsprocenten. Dvs. jo højere tillægsprocenten er, jo mere kan man få i tilskud. Tillægsprocenten udregnes ud fra ansøgers indkomst, og bortfalder ved indkomster på kr. 71.200 per år (enlige) og kr. 142.800 (par).</w:t>
      </w:r>
    </w:p>
    <w:p w:rsidR="0094089B" w:rsidRPr="0094089B" w:rsidRDefault="0094089B" w:rsidP="0094089B">
      <w:pPr>
        <w:pStyle w:val="Heading1"/>
      </w:pPr>
      <w:bookmarkStart w:id="1" w:name="_Toc512339616"/>
      <w:r w:rsidRPr="0094089B">
        <w:t xml:space="preserve">Om </w:t>
      </w:r>
      <w:r w:rsidR="00184938">
        <w:t>Tillægsprocent</w:t>
      </w:r>
      <w:bookmarkEnd w:id="1"/>
    </w:p>
    <w:p w:rsidR="00184938" w:rsidRPr="00184938" w:rsidRDefault="00184938" w:rsidP="00184938">
      <w:r w:rsidRPr="00184938">
        <w:t>Det er tillægsprocenten der ligger til grund for beregning af de maksimale tilskud til</w:t>
      </w:r>
      <w:r w:rsidR="00E627CE">
        <w:t>:</w:t>
      </w:r>
    </w:p>
    <w:p w:rsidR="00184938" w:rsidRPr="00184938" w:rsidRDefault="00184938" w:rsidP="00184938">
      <w:pPr>
        <w:numPr>
          <w:ilvl w:val="0"/>
          <w:numId w:val="9"/>
        </w:numPr>
      </w:pPr>
      <w:hyperlink r:id="rId6" w:history="1">
        <w:r w:rsidRPr="00184938">
          <w:rPr>
            <w:rStyle w:val="Hyperlink"/>
          </w:rPr>
          <w:t>Helbredstillæg</w:t>
        </w:r>
      </w:hyperlink>
      <w:r w:rsidRPr="00184938">
        <w:t xml:space="preserve">, </w:t>
      </w:r>
      <w:hyperlink r:id="rId7" w:history="1">
        <w:r w:rsidRPr="00184938">
          <w:rPr>
            <w:rStyle w:val="Hyperlink"/>
          </w:rPr>
          <w:t>ældrecheck</w:t>
        </w:r>
      </w:hyperlink>
      <w:r w:rsidRPr="00184938">
        <w:t> (Udbetaling Danmark)</w:t>
      </w:r>
    </w:p>
    <w:p w:rsidR="00184938" w:rsidRPr="00184938" w:rsidRDefault="00184938" w:rsidP="00184938">
      <w:pPr>
        <w:numPr>
          <w:ilvl w:val="0"/>
          <w:numId w:val="9"/>
        </w:numPr>
      </w:pPr>
      <w:hyperlink r:id="rId8" w:history="1">
        <w:r w:rsidRPr="00184938">
          <w:rPr>
            <w:rStyle w:val="Hyperlink"/>
          </w:rPr>
          <w:t>Varmetillæg</w:t>
        </w:r>
      </w:hyperlink>
      <w:r w:rsidRPr="00184938">
        <w:t> (kommunen)</w:t>
      </w:r>
    </w:p>
    <w:p w:rsidR="00184938" w:rsidRPr="00184938" w:rsidRDefault="00184938" w:rsidP="00184938">
      <w:r w:rsidRPr="00184938">
        <w:t>Alle pensionister får beregnet den personlige tillægsprocent af Udbetaling Danmark ud fra pensionistens og en evt. ægtefælles/samlevers samlede indtægter ud over social pension. Tillægsprocenten kan ændre sig i løbet af året, hvis fx indkomstgrundlag ændres, Tillægsprocent er altid angivet på pensionsmeddelelsen.</w:t>
      </w:r>
    </w:p>
    <w:p w:rsidR="00184938" w:rsidRPr="00184938" w:rsidRDefault="00184938" w:rsidP="00184938">
      <w:r w:rsidRPr="00184938">
        <w:t>Har man en tillægsprocent på over 0, har man sandsynligvis ret til ovenstående tillæg.</w:t>
      </w:r>
      <w:r w:rsidRPr="00184938">
        <w:br/>
        <w:t>Har man en tillægsprocent på 0, har man således ikke ret til tillæggene.</w:t>
      </w:r>
      <w:r w:rsidRPr="00184938">
        <w:br/>
        <w:t>Er tillægsprocenten f.eks. 75, får man til gengæld maksimalt 75% af den ældrecheck, som man er berettiget til.</w:t>
      </w:r>
      <w:r w:rsidRPr="00184938">
        <w:br/>
        <w:t>Dvs. jo højere tillægsprocenten er, jo mere kan man få i tilskud.</w:t>
      </w:r>
    </w:p>
    <w:p w:rsidR="00184938" w:rsidRPr="00184938" w:rsidRDefault="00184938" w:rsidP="00184938">
      <w:r w:rsidRPr="00184938">
        <w:t xml:space="preserve">Bemærk at </w:t>
      </w:r>
      <w:r>
        <w:t xml:space="preserve">for at få </w:t>
      </w:r>
      <w:r w:rsidRPr="00184938">
        <w:t xml:space="preserve">helbredstillæg og ældrecheck </w:t>
      </w:r>
      <w:r>
        <w:t xml:space="preserve">må </w:t>
      </w:r>
      <w:r w:rsidRPr="00184938">
        <w:t xml:space="preserve">formuen </w:t>
      </w:r>
      <w:r>
        <w:t xml:space="preserve">maks. </w:t>
      </w:r>
      <w:r w:rsidRPr="00184938">
        <w:t>være under 86.000 kr. Ved varmetillæg er formuen uden betydning.</w:t>
      </w:r>
    </w:p>
    <w:p w:rsidR="0094089B" w:rsidRDefault="0094089B" w:rsidP="00F1493A"/>
    <w:p w:rsidR="00AE2CB5" w:rsidRPr="0094089B" w:rsidRDefault="00AE2CB5" w:rsidP="00AE2CB5">
      <w:pPr>
        <w:pStyle w:val="Heading1"/>
      </w:pPr>
      <w:bookmarkStart w:id="2" w:name="_Toc512339617"/>
      <w:r w:rsidRPr="0094089B">
        <w:lastRenderedPageBreak/>
        <w:t xml:space="preserve">Sådan bliver </w:t>
      </w:r>
      <w:r w:rsidR="00184938">
        <w:t>Tillægsprocent</w:t>
      </w:r>
      <w:r>
        <w:t xml:space="preserve"> </w:t>
      </w:r>
      <w:r w:rsidRPr="0094089B">
        <w:t>udregnet</w:t>
      </w:r>
      <w:bookmarkEnd w:id="2"/>
    </w:p>
    <w:p w:rsidR="00184938" w:rsidRPr="00184938" w:rsidRDefault="00184938" w:rsidP="00184938">
      <w:r w:rsidRPr="00184938">
        <w:t>Udbetaling Danmark fastsætter løbende den personlige tillægsprocent, når de beregner pension.</w:t>
      </w:r>
      <w:r w:rsidRPr="00184938">
        <w:br/>
        <w:t>Folkepension indgår ikke i udregningen af indkomstgrundlaget.</w:t>
      </w:r>
    </w:p>
    <w:p w:rsidR="00184938" w:rsidRPr="00184938" w:rsidRDefault="00184938" w:rsidP="00184938">
      <w:r w:rsidRPr="00184938">
        <w:t>Ligeledes indgår de første kr. 60.000 om året</w:t>
      </w:r>
      <w:r>
        <w:t xml:space="preserve"> </w:t>
      </w:r>
      <w:r w:rsidRPr="00184938">
        <w:t>personlig </w:t>
      </w:r>
      <w:r w:rsidRPr="00184938">
        <w:rPr>
          <w:u w:val="single"/>
        </w:rPr>
        <w:t>arbejds</w:t>
      </w:r>
      <w:r w:rsidRPr="00184938">
        <w:t>indtægt heller ikke (før skat, og efter AM-bidrag er trukket) fra. Der skal dog betales skat inkl. AM-bidrag af hele arbejdsindtægten.</w:t>
      </w:r>
      <w:r w:rsidRPr="00184938">
        <w:br/>
        <w:t>Dvs. så længe den årlige arbejdsindtægt er under de 60.000 kr., påvirker arbejdsindtægten ikke den personlige tillægsprocent. Bemærk:</w:t>
      </w:r>
    </w:p>
    <w:p w:rsidR="00184938" w:rsidRPr="00184938" w:rsidRDefault="00184938" w:rsidP="00184938">
      <w:pPr>
        <w:numPr>
          <w:ilvl w:val="0"/>
          <w:numId w:val="10"/>
        </w:numPr>
      </w:pPr>
      <w:r w:rsidRPr="00184938">
        <w:t>Personlig arbejdsindkomst dækker både almindeligt lønarbejde men også personlig virksomhed</w:t>
      </w:r>
    </w:p>
    <w:p w:rsidR="00184938" w:rsidRPr="00184938" w:rsidRDefault="00184938" w:rsidP="00184938">
      <w:pPr>
        <w:numPr>
          <w:ilvl w:val="0"/>
          <w:numId w:val="10"/>
        </w:numPr>
      </w:pPr>
      <w:r w:rsidRPr="00184938">
        <w:t>Fradraget kan ikke deles mellem ægtefæller og samboende</w:t>
      </w:r>
    </w:p>
    <w:p w:rsidR="00184938" w:rsidRPr="00184938" w:rsidRDefault="00184938" w:rsidP="00184938">
      <w:pPr>
        <w:numPr>
          <w:ilvl w:val="0"/>
          <w:numId w:val="10"/>
        </w:numPr>
      </w:pPr>
      <w:r w:rsidRPr="00184938">
        <w:t>Fradraget bliver justeret i forhold til, hvor mange måneder man er på folkepension i det kalenderår, hvor man går på pension. Hvis man f.eks. er på folkepension i 3 måneder, er fradraget (kr. 60.000 / 12 måneder * 3 måneder =) kr. 15.000.</w:t>
      </w:r>
    </w:p>
    <w:p w:rsidR="00184938" w:rsidRPr="00184938" w:rsidRDefault="00184938" w:rsidP="00184938">
      <w:r w:rsidRPr="00184938">
        <w:t>Som udgangspunkt gælder følgende årlige grænsebeløb:</w:t>
      </w:r>
    </w:p>
    <w:p w:rsidR="00184938" w:rsidRPr="00184938" w:rsidRDefault="00F94805" w:rsidP="00184938">
      <w:r>
        <w:t>For enlige gælder det, at man får:</w:t>
      </w:r>
    </w:p>
    <w:p w:rsidR="00184938" w:rsidRPr="00184938" w:rsidRDefault="00184938" w:rsidP="00184938">
      <w:pPr>
        <w:numPr>
          <w:ilvl w:val="0"/>
          <w:numId w:val="11"/>
        </w:numPr>
      </w:pPr>
      <w:r w:rsidRPr="00184938">
        <w:t>100 i tillægsprocent, hvis indtægt er under kr. 20.500 (dvs. 80.500, hvis man har en arbejdsindtægt på kr. 60.000)</w:t>
      </w:r>
    </w:p>
    <w:p w:rsidR="00184938" w:rsidRPr="00184938" w:rsidRDefault="00184938" w:rsidP="00184938">
      <w:pPr>
        <w:numPr>
          <w:ilvl w:val="0"/>
          <w:numId w:val="11"/>
        </w:numPr>
      </w:pPr>
      <w:r w:rsidRPr="00184938">
        <w:t>0 i tillægsprocent, hvis indtægt er over kr. 71.200 (dvs. 131.200, hvis man har en arbejdsindtægt på kr. 60.000)</w:t>
      </w:r>
    </w:p>
    <w:p w:rsidR="00184938" w:rsidRPr="00184938" w:rsidRDefault="00184938" w:rsidP="00184938">
      <w:pPr>
        <w:numPr>
          <w:ilvl w:val="0"/>
          <w:numId w:val="11"/>
        </w:numPr>
      </w:pPr>
      <w:r w:rsidRPr="00184938">
        <w:t>Tillægsprocent falder med 1, for hver tjente kr. 507 over kr. 20.500 (dvs. 80.500, hvis man har en arbejdsindtægt på kr. 60.000)</w:t>
      </w:r>
    </w:p>
    <w:p w:rsidR="00F94805" w:rsidRDefault="00F94805" w:rsidP="00F94805"/>
    <w:p w:rsidR="00F94805" w:rsidRPr="00184938" w:rsidRDefault="00F94805" w:rsidP="00F94805">
      <w:r>
        <w:t xml:space="preserve">For </w:t>
      </w:r>
      <w:r>
        <w:t xml:space="preserve">par/samboende </w:t>
      </w:r>
      <w:r>
        <w:t>gælder det, at man får:</w:t>
      </w:r>
    </w:p>
    <w:p w:rsidR="00184938" w:rsidRPr="00184938" w:rsidRDefault="00184938" w:rsidP="00184938">
      <w:pPr>
        <w:numPr>
          <w:ilvl w:val="0"/>
          <w:numId w:val="12"/>
        </w:numPr>
      </w:pPr>
      <w:r w:rsidRPr="00184938">
        <w:t>100 i tillægsprocent, hvis indtægt er under 40.600 (dvs. 140.600, hvis begge har en arbejdsindtægt på kr. 60.000)</w:t>
      </w:r>
    </w:p>
    <w:p w:rsidR="00184938" w:rsidRPr="00184938" w:rsidRDefault="00F94805" w:rsidP="00184938">
      <w:pPr>
        <w:numPr>
          <w:ilvl w:val="0"/>
          <w:numId w:val="12"/>
        </w:numPr>
      </w:pPr>
      <w:r>
        <w:t>0 i tillægspr</w:t>
      </w:r>
      <w:r w:rsidR="00184938" w:rsidRPr="00184938">
        <w:t>ocent, hvis indtægt er over kr. 142.800 (dvs. 260.600, hvis begge har en arbejdsindtægt på kr. 60.000)</w:t>
      </w:r>
    </w:p>
    <w:p w:rsidR="00184938" w:rsidRPr="00184938" w:rsidRDefault="00184938" w:rsidP="00184938">
      <w:pPr>
        <w:numPr>
          <w:ilvl w:val="0"/>
          <w:numId w:val="12"/>
        </w:numPr>
      </w:pPr>
      <w:r w:rsidRPr="00184938">
        <w:t>Tillægsprocent falder med 1, for hver tjente kr. 1.022 over kr. 40.600 (dvs. 140.600, hvis begge har en arbejdsindtægt på kr. 60.000)</w:t>
      </w:r>
    </w:p>
    <w:p w:rsidR="00F94805" w:rsidRDefault="00F94805" w:rsidP="00184938">
      <w:r>
        <w:t>Bemærk:</w:t>
      </w:r>
    </w:p>
    <w:p w:rsidR="00F94805" w:rsidRDefault="00F94805" w:rsidP="00F94805">
      <w:pPr>
        <w:pStyle w:val="ListParagraph"/>
        <w:numPr>
          <w:ilvl w:val="0"/>
          <w:numId w:val="16"/>
        </w:numPr>
      </w:pPr>
      <w:r w:rsidRPr="00184938">
        <w:t>Udbetaling Danmark benytter oplysninger fra SKAT til udregning af tillægsprocenten.</w:t>
      </w:r>
    </w:p>
    <w:p w:rsidR="00F94805" w:rsidRPr="00184938" w:rsidRDefault="00F94805" w:rsidP="00F94805">
      <w:pPr>
        <w:pStyle w:val="ListParagraph"/>
        <w:numPr>
          <w:ilvl w:val="0"/>
          <w:numId w:val="16"/>
        </w:numPr>
      </w:pPr>
      <w:r>
        <w:t>Æ</w:t>
      </w:r>
      <w:r w:rsidRPr="00184938">
        <w:t>gtefælle eller samlevers indtægter indgå i beregningen.</w:t>
      </w:r>
    </w:p>
    <w:p w:rsidR="00F94805" w:rsidRDefault="00184938" w:rsidP="00184938">
      <w:pPr>
        <w:pStyle w:val="ListParagraph"/>
        <w:numPr>
          <w:ilvl w:val="0"/>
          <w:numId w:val="16"/>
        </w:numPr>
      </w:pPr>
      <w:r w:rsidRPr="00184938">
        <w:t>Man kan i øvrigt ikke få helbredstillæg, hvis man har en formue, selvom man har en tillægsprocent på 100.</w:t>
      </w:r>
    </w:p>
    <w:p w:rsidR="00F94805" w:rsidRDefault="00184938" w:rsidP="00F94805">
      <w:pPr>
        <w:pStyle w:val="ListParagraph"/>
        <w:numPr>
          <w:ilvl w:val="0"/>
          <w:numId w:val="16"/>
        </w:numPr>
      </w:pPr>
      <w:r w:rsidRPr="00184938">
        <w:t>Det er vigtigt, at man retter sin selvangivelse, hvis der sker ændringer i sin formue eller indtægter, i forho</w:t>
      </w:r>
      <w:r w:rsidR="00F94805">
        <w:t xml:space="preserve">ld til sin sidste årsopgørelse. </w:t>
      </w:r>
      <w:r w:rsidRPr="00184938">
        <w:t>Man kan indberette sin:</w:t>
      </w:r>
    </w:p>
    <w:p w:rsidR="00F94805" w:rsidRDefault="00184938" w:rsidP="00F94805">
      <w:pPr>
        <w:pStyle w:val="ListParagraph"/>
        <w:numPr>
          <w:ilvl w:val="1"/>
          <w:numId w:val="16"/>
        </w:numPr>
      </w:pPr>
      <w:r w:rsidRPr="00184938">
        <w:t xml:space="preserve">Formue ved </w:t>
      </w:r>
      <w:hyperlink r:id="rId9" w:history="1">
        <w:r w:rsidRPr="00184938">
          <w:rPr>
            <w:rStyle w:val="Hyperlink"/>
          </w:rPr>
          <w:t>Udbetaling Danmark, her</w:t>
        </w:r>
      </w:hyperlink>
    </w:p>
    <w:p w:rsidR="00F94805" w:rsidRDefault="00184938" w:rsidP="00184938">
      <w:pPr>
        <w:pStyle w:val="ListParagraph"/>
        <w:numPr>
          <w:ilvl w:val="1"/>
          <w:numId w:val="16"/>
        </w:numPr>
      </w:pPr>
      <w:r w:rsidRPr="00184938">
        <w:t xml:space="preserve">Indtægt ved </w:t>
      </w:r>
      <w:hyperlink r:id="rId10" w:history="1">
        <w:r w:rsidRPr="00184938">
          <w:rPr>
            <w:rStyle w:val="Hyperlink"/>
          </w:rPr>
          <w:t>skat, her</w:t>
        </w:r>
      </w:hyperlink>
    </w:p>
    <w:p w:rsidR="00184938" w:rsidRPr="00184938" w:rsidRDefault="00184938" w:rsidP="00F94805">
      <w:pPr>
        <w:pStyle w:val="ListParagraph"/>
        <w:numPr>
          <w:ilvl w:val="0"/>
          <w:numId w:val="16"/>
        </w:numPr>
      </w:pPr>
      <w:r w:rsidRPr="00184938">
        <w:t xml:space="preserve">Modtager man brøkpension, nedsættes ydelsen i forhold til antallet af </w:t>
      </w:r>
      <w:proofErr w:type="spellStart"/>
      <w:r w:rsidRPr="00184938">
        <w:t>bopælsår</w:t>
      </w:r>
      <w:proofErr w:type="spellEnd"/>
      <w:r w:rsidRPr="00184938">
        <w:t>. Er den supplerende pensionsydelse mindre end 200 kroner, udbetales den dog ikke.</w:t>
      </w:r>
    </w:p>
    <w:p w:rsidR="00184938" w:rsidRPr="00184938" w:rsidRDefault="00184938" w:rsidP="00184938">
      <w:pPr>
        <w:rPr>
          <w:b/>
          <w:bCs/>
        </w:rPr>
      </w:pPr>
      <w:r w:rsidRPr="00184938">
        <w:rPr>
          <w:b/>
          <w:bCs/>
        </w:rPr>
        <w:t>Ved opgørelsen af likvid formue indgår:</w:t>
      </w:r>
    </w:p>
    <w:p w:rsidR="00184938" w:rsidRPr="00184938" w:rsidRDefault="00184938" w:rsidP="00184938">
      <w:pPr>
        <w:numPr>
          <w:ilvl w:val="0"/>
          <w:numId w:val="14"/>
        </w:numPr>
      </w:pPr>
      <w:r w:rsidRPr="00184938">
        <w:t>Indestående i pengeinstitutter m.v., f.eks</w:t>
      </w:r>
      <w:r w:rsidR="00B93EBC">
        <w:t>.</w:t>
      </w:r>
      <w:r w:rsidRPr="00184938">
        <w:t xml:space="preserve"> nedspa</w:t>
      </w:r>
      <w:r w:rsidR="00B93EBC">
        <w:t>r</w:t>
      </w:r>
      <w:r w:rsidRPr="00184938">
        <w:t>ringslån og kassekredit med pant i fast</w:t>
      </w:r>
      <w:r w:rsidR="00B93EBC">
        <w:t xml:space="preserve"> </w:t>
      </w:r>
      <w:r w:rsidRPr="00184938">
        <w:t>ejendom</w:t>
      </w:r>
    </w:p>
    <w:p w:rsidR="00184938" w:rsidRPr="00184938" w:rsidRDefault="00184938" w:rsidP="00184938">
      <w:pPr>
        <w:numPr>
          <w:ilvl w:val="0"/>
          <w:numId w:val="14"/>
        </w:numPr>
      </w:pPr>
      <w:r w:rsidRPr="00184938">
        <w:t>Kursværdien af obligationer i depot</w:t>
      </w:r>
    </w:p>
    <w:p w:rsidR="00184938" w:rsidRPr="00184938" w:rsidRDefault="00184938" w:rsidP="00184938">
      <w:pPr>
        <w:numPr>
          <w:ilvl w:val="0"/>
          <w:numId w:val="14"/>
        </w:numPr>
      </w:pPr>
      <w:r w:rsidRPr="00184938">
        <w:t>Kursværdien af deponerede, børsnoter</w:t>
      </w:r>
      <w:bookmarkStart w:id="3" w:name="_GoBack"/>
      <w:bookmarkEnd w:id="3"/>
      <w:r w:rsidRPr="00184938">
        <w:t>ede aktier</w:t>
      </w:r>
    </w:p>
    <w:p w:rsidR="00184938" w:rsidRPr="00184938" w:rsidRDefault="00184938" w:rsidP="00184938">
      <w:pPr>
        <w:numPr>
          <w:ilvl w:val="0"/>
          <w:numId w:val="14"/>
        </w:numPr>
      </w:pPr>
      <w:r w:rsidRPr="00184938">
        <w:t>Kursværdien af investeringsforeningsbeviser</w:t>
      </w:r>
    </w:p>
    <w:p w:rsidR="00184938" w:rsidRPr="00184938" w:rsidRDefault="00184938" w:rsidP="00184938">
      <w:pPr>
        <w:numPr>
          <w:ilvl w:val="0"/>
          <w:numId w:val="14"/>
        </w:numPr>
      </w:pPr>
      <w:r w:rsidRPr="00184938">
        <w:t>Kontant beholdning</w:t>
      </w:r>
    </w:p>
    <w:p w:rsidR="00184938" w:rsidRPr="00184938" w:rsidRDefault="00184938" w:rsidP="00184938">
      <w:pPr>
        <w:numPr>
          <w:ilvl w:val="0"/>
          <w:numId w:val="14"/>
        </w:numPr>
      </w:pPr>
      <w:r w:rsidRPr="00184938">
        <w:t>Pantebreve i depot</w:t>
      </w:r>
    </w:p>
    <w:p w:rsidR="00184938" w:rsidRPr="00184938" w:rsidRDefault="00184938" w:rsidP="00184938">
      <w:pPr>
        <w:numPr>
          <w:ilvl w:val="0"/>
          <w:numId w:val="14"/>
        </w:numPr>
      </w:pPr>
      <w:r w:rsidRPr="00184938">
        <w:t>Andre værdipapirer, herunder værdipapirer i udlandet.</w:t>
      </w:r>
    </w:p>
    <w:p w:rsidR="00184938" w:rsidRPr="00184938" w:rsidRDefault="00184938" w:rsidP="00184938">
      <w:r w:rsidRPr="00184938">
        <w:rPr>
          <w:b/>
          <w:bCs/>
        </w:rPr>
        <w:t>I likvid formue indgår ikke:</w:t>
      </w:r>
    </w:p>
    <w:p w:rsidR="00184938" w:rsidRPr="00184938" w:rsidRDefault="00184938" w:rsidP="00184938">
      <w:pPr>
        <w:numPr>
          <w:ilvl w:val="0"/>
          <w:numId w:val="15"/>
        </w:numPr>
      </w:pPr>
      <w:r w:rsidRPr="00184938">
        <w:t>Friværdi i fast ejendom</w:t>
      </w:r>
    </w:p>
    <w:p w:rsidR="00184938" w:rsidRPr="00184938" w:rsidRDefault="00184938" w:rsidP="00184938">
      <w:pPr>
        <w:numPr>
          <w:ilvl w:val="0"/>
          <w:numId w:val="15"/>
        </w:numPr>
      </w:pPr>
      <w:r w:rsidRPr="00184938">
        <w:t>Almindelig kassekredit, som ikke har sikkerhed i fast ejendom</w:t>
      </w:r>
    </w:p>
    <w:p w:rsidR="00184938" w:rsidRPr="00184938" w:rsidRDefault="00184938" w:rsidP="00184938">
      <w:pPr>
        <w:numPr>
          <w:ilvl w:val="0"/>
          <w:numId w:val="15"/>
        </w:numPr>
      </w:pPr>
      <w:r w:rsidRPr="00184938">
        <w:t>Bil</w:t>
      </w:r>
    </w:p>
    <w:p w:rsidR="00184938" w:rsidRPr="00184938" w:rsidRDefault="00184938" w:rsidP="00184938">
      <w:pPr>
        <w:numPr>
          <w:ilvl w:val="0"/>
          <w:numId w:val="15"/>
        </w:numPr>
      </w:pPr>
      <w:r w:rsidRPr="00184938">
        <w:t>Ting du ejer, f.eks. en samling eller et værdifuldt arvestykke</w:t>
      </w:r>
    </w:p>
    <w:p w:rsidR="00184938" w:rsidRDefault="00184938" w:rsidP="00184938"/>
    <w:p w:rsidR="0094089B" w:rsidRDefault="0094089B" w:rsidP="0094089B">
      <w:pPr>
        <w:pStyle w:val="Heading1"/>
        <w:rPr>
          <w:rFonts w:eastAsiaTheme="minorHAnsi"/>
        </w:rPr>
      </w:pPr>
      <w:bookmarkStart w:id="4" w:name="_Toc512339618"/>
      <w:r w:rsidRPr="0094089B">
        <w:rPr>
          <w:rFonts w:eastAsiaTheme="minorHAnsi"/>
        </w:rPr>
        <w:t xml:space="preserve">Eksempler på </w:t>
      </w:r>
      <w:r w:rsidR="00184938">
        <w:rPr>
          <w:rFonts w:eastAsiaTheme="minorHAnsi"/>
        </w:rPr>
        <w:t>Tillægsprocent</w:t>
      </w:r>
      <w:bookmarkEnd w:id="4"/>
    </w:p>
    <w:p w:rsidR="00F94805" w:rsidRPr="00F94805" w:rsidRDefault="00F94805" w:rsidP="00F94805">
      <w:pPr>
        <w:rPr>
          <w:b/>
          <w:bCs/>
        </w:rPr>
      </w:pPr>
      <w:r w:rsidRPr="00F94805">
        <w:rPr>
          <w:b/>
          <w:bCs/>
        </w:rPr>
        <w:t>Tillægsprocenten er afgørende</w:t>
      </w:r>
    </w:p>
    <w:p w:rsidR="00F94805" w:rsidRPr="00F94805" w:rsidRDefault="00F94805" w:rsidP="00F94805">
      <w:r w:rsidRPr="00F94805">
        <w:t>Ældrecheckens størrelse udregnes på baggrund af personens tillægsprocent. Se nedenfor, eksempler på udregning:</w:t>
      </w:r>
    </w:p>
    <w:p w:rsidR="00F94805" w:rsidRPr="00F94805" w:rsidRDefault="00F94805" w:rsidP="00F94805">
      <w:pPr>
        <w:numPr>
          <w:ilvl w:val="0"/>
          <w:numId w:val="17"/>
        </w:numPr>
      </w:pPr>
      <w:r w:rsidRPr="00F94805">
        <w:t>Tillægsprocent er 25:  Ældrecheck er kr. 4.300</w:t>
      </w:r>
    </w:p>
    <w:p w:rsidR="00F94805" w:rsidRPr="00F94805" w:rsidRDefault="00F94805" w:rsidP="00F94805">
      <w:pPr>
        <w:numPr>
          <w:ilvl w:val="0"/>
          <w:numId w:val="17"/>
        </w:numPr>
      </w:pPr>
      <w:r w:rsidRPr="00F94805">
        <w:t>Tillægsprocent er 50:  Ældrecheck er kr. 8.600</w:t>
      </w:r>
    </w:p>
    <w:p w:rsidR="00F94805" w:rsidRPr="00F94805" w:rsidRDefault="00F94805" w:rsidP="00F94805">
      <w:pPr>
        <w:numPr>
          <w:ilvl w:val="0"/>
          <w:numId w:val="17"/>
        </w:numPr>
      </w:pPr>
      <w:r w:rsidRPr="00F94805">
        <w:t>Tillægsprocent er 75:  Ældrecheck er kr. 12.900</w:t>
      </w:r>
    </w:p>
    <w:p w:rsidR="00F94805" w:rsidRPr="00F94805" w:rsidRDefault="00F94805" w:rsidP="00F94805">
      <w:pPr>
        <w:numPr>
          <w:ilvl w:val="0"/>
          <w:numId w:val="17"/>
        </w:numPr>
      </w:pPr>
      <w:r w:rsidRPr="00F94805">
        <w:t>Tillægsprocent er 100: Ældrecheck er kr. 17.200</w:t>
      </w:r>
    </w:p>
    <w:p w:rsidR="00F94805" w:rsidRDefault="00F94805" w:rsidP="00F94805"/>
    <w:p w:rsidR="00F94805" w:rsidRPr="00F94805" w:rsidRDefault="00F94805" w:rsidP="00F94805">
      <w:pPr>
        <w:rPr>
          <w:b/>
          <w:bCs/>
        </w:rPr>
      </w:pPr>
      <w:r w:rsidRPr="00F94805">
        <w:rPr>
          <w:b/>
          <w:bCs/>
        </w:rPr>
        <w:t>Eksempel - Enlig Folkepensionist</w:t>
      </w:r>
    </w:p>
    <w:p w:rsidR="00F94805" w:rsidRPr="00F94805" w:rsidRDefault="00F94805" w:rsidP="00F94805">
      <w:r w:rsidRPr="00F94805">
        <w:t>Indtægter ud over folkepensionen:</w:t>
      </w:r>
    </w:p>
    <w:p w:rsidR="00F94805" w:rsidRPr="00F94805" w:rsidRDefault="00F94805" w:rsidP="00F94805">
      <w:pPr>
        <w:numPr>
          <w:ilvl w:val="0"/>
          <w:numId w:val="18"/>
        </w:numPr>
      </w:pPr>
      <w:r w:rsidRPr="00F94805">
        <w:t>ATP: kr. 10.000</w:t>
      </w:r>
    </w:p>
    <w:p w:rsidR="00F94805" w:rsidRPr="00F94805" w:rsidRDefault="00F94805" w:rsidP="00F94805">
      <w:pPr>
        <w:numPr>
          <w:ilvl w:val="0"/>
          <w:numId w:val="18"/>
        </w:numPr>
      </w:pPr>
      <w:r w:rsidRPr="00F94805">
        <w:t>Renteindtægt: kr. 1.000</w:t>
      </w:r>
    </w:p>
    <w:p w:rsidR="00F94805" w:rsidRPr="00F94805" w:rsidRDefault="00F94805" w:rsidP="00F94805">
      <w:pPr>
        <w:numPr>
          <w:ilvl w:val="0"/>
          <w:numId w:val="18"/>
        </w:numPr>
      </w:pPr>
      <w:r w:rsidRPr="00F94805">
        <w:t>Ratepension: kr. 14.500</w:t>
      </w:r>
    </w:p>
    <w:p w:rsidR="00F94805" w:rsidRPr="00F94805" w:rsidRDefault="00F94805" w:rsidP="00F94805">
      <w:pPr>
        <w:numPr>
          <w:ilvl w:val="0"/>
          <w:numId w:val="18"/>
        </w:numPr>
      </w:pPr>
      <w:r w:rsidRPr="00F94805">
        <w:t>I alt: kr. 25.500</w:t>
      </w:r>
    </w:p>
    <w:p w:rsidR="00F94805" w:rsidRPr="00F94805" w:rsidRDefault="00F94805" w:rsidP="00F94805">
      <w:r w:rsidRPr="00F94805">
        <w:t>Beregning af Tillægsprocent:</w:t>
      </w:r>
    </w:p>
    <w:p w:rsidR="00F94805" w:rsidRPr="00F94805" w:rsidRDefault="00F94805" w:rsidP="00F94805">
      <w:pPr>
        <w:numPr>
          <w:ilvl w:val="0"/>
          <w:numId w:val="19"/>
        </w:numPr>
      </w:pPr>
      <w:r w:rsidRPr="00F94805">
        <w:t>Indtægter (ud over pension): kr. 25.500</w:t>
      </w:r>
    </w:p>
    <w:p w:rsidR="00F94805" w:rsidRPr="00F94805" w:rsidRDefault="00F94805" w:rsidP="00F94805">
      <w:pPr>
        <w:numPr>
          <w:ilvl w:val="0"/>
          <w:numId w:val="19"/>
        </w:numPr>
      </w:pPr>
      <w:r w:rsidRPr="00F94805">
        <w:t>Fradragsbeløb som enlig: kr. 20.500 (per år)</w:t>
      </w:r>
    </w:p>
    <w:p w:rsidR="00F94805" w:rsidRPr="00F94805" w:rsidRDefault="00F94805" w:rsidP="00F94805">
      <w:pPr>
        <w:numPr>
          <w:ilvl w:val="0"/>
          <w:numId w:val="19"/>
        </w:numPr>
      </w:pPr>
      <w:r w:rsidRPr="00F94805">
        <w:t xml:space="preserve">Beregnet indtægt: </w:t>
      </w:r>
      <w:r w:rsidRPr="00F94805">
        <w:rPr>
          <w:u w:val="single"/>
        </w:rPr>
        <w:t>5.000</w:t>
      </w:r>
    </w:p>
    <w:p w:rsidR="00F94805" w:rsidRPr="00F94805" w:rsidRDefault="00F94805" w:rsidP="00F94805">
      <w:r w:rsidRPr="00F94805">
        <w:t>Tillægsprocent: 100 - (</w:t>
      </w:r>
      <w:r w:rsidRPr="00F94805">
        <w:rPr>
          <w:u w:val="single"/>
        </w:rPr>
        <w:t>5.000</w:t>
      </w:r>
      <w:r w:rsidRPr="00F94805">
        <w:t xml:space="preserve"> / 507) = 90,2 =&gt; 90% (*)</w:t>
      </w:r>
      <w:r w:rsidRPr="00F94805">
        <w:br/>
        <w:t>Ældrecheck: 17.200 * 90% = </w:t>
      </w:r>
      <w:r w:rsidRPr="00F94805">
        <w:rPr>
          <w:b/>
          <w:bCs/>
          <w:u w:val="single"/>
        </w:rPr>
        <w:t>15.480</w:t>
      </w:r>
    </w:p>
    <w:p w:rsidR="00F94805" w:rsidRPr="00F94805" w:rsidRDefault="00F94805" w:rsidP="00F94805">
      <w:pPr>
        <w:rPr>
          <w:b/>
          <w:bCs/>
        </w:rPr>
      </w:pPr>
      <w:r w:rsidRPr="00F94805">
        <w:rPr>
          <w:b/>
          <w:bCs/>
        </w:rPr>
        <w:t>Eksempel - Gift / Samlevende Folkepensionist</w:t>
      </w:r>
    </w:p>
    <w:p w:rsidR="00F94805" w:rsidRPr="00F94805" w:rsidRDefault="00F94805" w:rsidP="00F94805">
      <w:r w:rsidRPr="00F94805">
        <w:t>Indtægter ud over folkepensionen:</w:t>
      </w:r>
    </w:p>
    <w:p w:rsidR="00F94805" w:rsidRPr="00F94805" w:rsidRDefault="00F94805" w:rsidP="00F94805">
      <w:pPr>
        <w:numPr>
          <w:ilvl w:val="0"/>
          <w:numId w:val="20"/>
        </w:numPr>
      </w:pPr>
      <w:r w:rsidRPr="00F94805">
        <w:t>ATP: kr. 10.000</w:t>
      </w:r>
    </w:p>
    <w:p w:rsidR="00F94805" w:rsidRPr="00F94805" w:rsidRDefault="00F94805" w:rsidP="00F94805">
      <w:pPr>
        <w:numPr>
          <w:ilvl w:val="0"/>
          <w:numId w:val="20"/>
        </w:numPr>
      </w:pPr>
      <w:r w:rsidRPr="00F94805">
        <w:t>Renteindtægt: kr. 1.000</w:t>
      </w:r>
    </w:p>
    <w:p w:rsidR="00F94805" w:rsidRPr="00F94805" w:rsidRDefault="00F94805" w:rsidP="00F94805">
      <w:pPr>
        <w:numPr>
          <w:ilvl w:val="0"/>
          <w:numId w:val="20"/>
        </w:numPr>
      </w:pPr>
      <w:r w:rsidRPr="00F94805">
        <w:t>Ratepension: kr. 14.500</w:t>
      </w:r>
    </w:p>
    <w:p w:rsidR="00F94805" w:rsidRPr="00F94805" w:rsidRDefault="00F94805" w:rsidP="00F94805">
      <w:pPr>
        <w:numPr>
          <w:ilvl w:val="0"/>
          <w:numId w:val="20"/>
        </w:numPr>
      </w:pPr>
      <w:r w:rsidRPr="00F94805">
        <w:t>Ægtefælles ATP: 10.000</w:t>
      </w:r>
    </w:p>
    <w:p w:rsidR="00F94805" w:rsidRPr="00F94805" w:rsidRDefault="00F94805" w:rsidP="00F94805">
      <w:pPr>
        <w:numPr>
          <w:ilvl w:val="0"/>
          <w:numId w:val="20"/>
        </w:numPr>
      </w:pPr>
      <w:r w:rsidRPr="00F94805">
        <w:t>Ægtefælles ratepension: 10.000</w:t>
      </w:r>
    </w:p>
    <w:p w:rsidR="00F94805" w:rsidRPr="00F94805" w:rsidRDefault="00F94805" w:rsidP="00F94805">
      <w:pPr>
        <w:numPr>
          <w:ilvl w:val="0"/>
          <w:numId w:val="20"/>
        </w:numPr>
      </w:pPr>
      <w:r w:rsidRPr="00F94805">
        <w:t>I alt: kr. 45.500</w:t>
      </w:r>
    </w:p>
    <w:p w:rsidR="00F94805" w:rsidRPr="00F94805" w:rsidRDefault="00F94805" w:rsidP="00F94805">
      <w:r w:rsidRPr="00F94805">
        <w:t>Beregning af Tillægsprocent:</w:t>
      </w:r>
    </w:p>
    <w:p w:rsidR="00F94805" w:rsidRPr="00F94805" w:rsidRDefault="00F94805" w:rsidP="00F94805">
      <w:pPr>
        <w:numPr>
          <w:ilvl w:val="0"/>
          <w:numId w:val="21"/>
        </w:numPr>
      </w:pPr>
      <w:r w:rsidRPr="00F94805">
        <w:t>Indtægter (ud over pension): kr. 45.500</w:t>
      </w:r>
    </w:p>
    <w:p w:rsidR="00F94805" w:rsidRPr="00F94805" w:rsidRDefault="00F94805" w:rsidP="00F94805">
      <w:pPr>
        <w:numPr>
          <w:ilvl w:val="0"/>
          <w:numId w:val="21"/>
        </w:numPr>
      </w:pPr>
      <w:r w:rsidRPr="00F94805">
        <w:t>Fradragsbeløb for Gifte/samlevende: kr. 40.600 (per år)</w:t>
      </w:r>
    </w:p>
    <w:p w:rsidR="00F94805" w:rsidRPr="00F94805" w:rsidRDefault="00F94805" w:rsidP="00F94805">
      <w:pPr>
        <w:numPr>
          <w:ilvl w:val="0"/>
          <w:numId w:val="21"/>
        </w:numPr>
      </w:pPr>
      <w:r w:rsidRPr="00F94805">
        <w:t xml:space="preserve">Beregnet indtægt: </w:t>
      </w:r>
      <w:r w:rsidRPr="00F94805">
        <w:rPr>
          <w:u w:val="single"/>
        </w:rPr>
        <w:t>4.900</w:t>
      </w:r>
    </w:p>
    <w:p w:rsidR="00F94805" w:rsidRPr="00F94805" w:rsidRDefault="00F94805" w:rsidP="00F94805">
      <w:r w:rsidRPr="00F94805">
        <w:t>Tillægsprocent: 100 - (</w:t>
      </w:r>
      <w:r w:rsidRPr="00F94805">
        <w:rPr>
          <w:u w:val="single"/>
        </w:rPr>
        <w:t>4.900</w:t>
      </w:r>
      <w:r w:rsidRPr="00F94805">
        <w:t xml:space="preserve"> / 1.022) = 95,2 =&gt; 95% (**)</w:t>
      </w:r>
      <w:r w:rsidRPr="00F94805">
        <w:br/>
        <w:t>Ældrecheck: kr. 17.200 * 95% = kr. </w:t>
      </w:r>
      <w:r w:rsidRPr="00F94805">
        <w:rPr>
          <w:b/>
          <w:bCs/>
          <w:u w:val="single"/>
        </w:rPr>
        <w:t>16.340</w:t>
      </w:r>
    </w:p>
    <w:p w:rsidR="00F94805" w:rsidRPr="00F94805" w:rsidRDefault="00F94805" w:rsidP="00F94805">
      <w:pPr>
        <w:rPr>
          <w:b/>
          <w:bCs/>
        </w:rPr>
      </w:pPr>
      <w:r w:rsidRPr="00F94805">
        <w:rPr>
          <w:b/>
          <w:bCs/>
        </w:rPr>
        <w:t>Eksempel - Enlig, Arbejdende Folkepensionist</w:t>
      </w:r>
    </w:p>
    <w:p w:rsidR="00F94805" w:rsidRPr="00F94805" w:rsidRDefault="00F94805" w:rsidP="00F94805">
      <w:r w:rsidRPr="00F94805">
        <w:t>De første 60.000 af en arbejdsindkomst tæller ikke med, ved beregning af tillægsprocent.</w:t>
      </w:r>
    </w:p>
    <w:p w:rsidR="00F94805" w:rsidRPr="00F94805" w:rsidRDefault="00F94805" w:rsidP="00F94805">
      <w:r w:rsidRPr="00F94805">
        <w:t>Indtægter ud over folkepensionen:</w:t>
      </w:r>
    </w:p>
    <w:p w:rsidR="00F94805" w:rsidRPr="00F94805" w:rsidRDefault="00F94805" w:rsidP="00F94805">
      <w:pPr>
        <w:numPr>
          <w:ilvl w:val="0"/>
          <w:numId w:val="22"/>
        </w:numPr>
      </w:pPr>
      <w:r w:rsidRPr="00F94805">
        <w:t>Arbejdsindtægt: kr. 60.000</w:t>
      </w:r>
    </w:p>
    <w:p w:rsidR="00F94805" w:rsidRPr="00F94805" w:rsidRDefault="00F94805" w:rsidP="00F94805">
      <w:pPr>
        <w:numPr>
          <w:ilvl w:val="0"/>
          <w:numId w:val="22"/>
        </w:numPr>
      </w:pPr>
      <w:r w:rsidRPr="00F94805">
        <w:t>ATP: kr. 10.000</w:t>
      </w:r>
    </w:p>
    <w:p w:rsidR="00F94805" w:rsidRPr="00F94805" w:rsidRDefault="00F94805" w:rsidP="00F94805">
      <w:pPr>
        <w:numPr>
          <w:ilvl w:val="0"/>
          <w:numId w:val="22"/>
        </w:numPr>
      </w:pPr>
      <w:r w:rsidRPr="00F94805">
        <w:t>Renteindtægt: kr. 1.000</w:t>
      </w:r>
    </w:p>
    <w:p w:rsidR="00F94805" w:rsidRPr="00F94805" w:rsidRDefault="00F94805" w:rsidP="00F94805">
      <w:pPr>
        <w:numPr>
          <w:ilvl w:val="0"/>
          <w:numId w:val="22"/>
        </w:numPr>
      </w:pPr>
      <w:r w:rsidRPr="00F94805">
        <w:t>Ratepension: kr. 14.500</w:t>
      </w:r>
    </w:p>
    <w:p w:rsidR="00F94805" w:rsidRPr="00F94805" w:rsidRDefault="00F94805" w:rsidP="00F94805">
      <w:pPr>
        <w:numPr>
          <w:ilvl w:val="0"/>
          <w:numId w:val="22"/>
        </w:numPr>
      </w:pPr>
      <w:r w:rsidRPr="00F94805">
        <w:t>I alt: kr. 85.500</w:t>
      </w:r>
    </w:p>
    <w:p w:rsidR="00F94805" w:rsidRPr="00F94805" w:rsidRDefault="00F94805" w:rsidP="00F94805">
      <w:r w:rsidRPr="00F94805">
        <w:t>Beregning af Tillægsprocent:</w:t>
      </w:r>
    </w:p>
    <w:p w:rsidR="00F94805" w:rsidRPr="00F94805" w:rsidRDefault="00F94805" w:rsidP="00F94805">
      <w:pPr>
        <w:numPr>
          <w:ilvl w:val="0"/>
          <w:numId w:val="23"/>
        </w:numPr>
      </w:pPr>
      <w:r w:rsidRPr="00F94805">
        <w:t>Indtægter (ud over pension): kr. 85.500</w:t>
      </w:r>
    </w:p>
    <w:p w:rsidR="00F94805" w:rsidRPr="00F94805" w:rsidRDefault="00F94805" w:rsidP="00F94805">
      <w:pPr>
        <w:numPr>
          <w:ilvl w:val="0"/>
          <w:numId w:val="23"/>
        </w:numPr>
      </w:pPr>
      <w:r w:rsidRPr="00F94805">
        <w:t>Fradragsbeløb for arbejdsindtægt: kr. 60.000</w:t>
      </w:r>
    </w:p>
    <w:p w:rsidR="00F94805" w:rsidRPr="00F94805" w:rsidRDefault="00F94805" w:rsidP="00F94805">
      <w:pPr>
        <w:numPr>
          <w:ilvl w:val="0"/>
          <w:numId w:val="23"/>
        </w:numPr>
      </w:pPr>
      <w:r w:rsidRPr="00F94805">
        <w:t>Fradragsbeløb som enlig: kr. 20.500 (per år)</w:t>
      </w:r>
    </w:p>
    <w:p w:rsidR="00F94805" w:rsidRPr="00F94805" w:rsidRDefault="00F94805" w:rsidP="00F94805">
      <w:pPr>
        <w:numPr>
          <w:ilvl w:val="0"/>
          <w:numId w:val="23"/>
        </w:numPr>
      </w:pPr>
      <w:r w:rsidRPr="00F94805">
        <w:t xml:space="preserve">Beregnet indtægt: </w:t>
      </w:r>
      <w:r w:rsidRPr="00F94805">
        <w:rPr>
          <w:u w:val="single"/>
        </w:rPr>
        <w:t>5.000</w:t>
      </w:r>
    </w:p>
    <w:p w:rsidR="00F94805" w:rsidRPr="00F94805" w:rsidRDefault="00F94805" w:rsidP="00F94805">
      <w:r w:rsidRPr="00F94805">
        <w:t>Tillægsprocent: 100 - (</w:t>
      </w:r>
      <w:r w:rsidRPr="00F94805">
        <w:rPr>
          <w:u w:val="single"/>
        </w:rPr>
        <w:t>5.000</w:t>
      </w:r>
      <w:r>
        <w:t xml:space="preserve"> / 507</w:t>
      </w:r>
      <w:r w:rsidRPr="00F94805">
        <w:t>) = 90,2 =&gt; 90% (*)</w:t>
      </w:r>
      <w:r w:rsidRPr="00F94805">
        <w:br/>
        <w:t>Ældrecheck: 17.200 * 90% = </w:t>
      </w:r>
      <w:r w:rsidRPr="00F94805">
        <w:rPr>
          <w:b/>
          <w:bCs/>
          <w:u w:val="single"/>
        </w:rPr>
        <w:t>15.480</w:t>
      </w:r>
    </w:p>
    <w:p w:rsidR="00F94805" w:rsidRPr="00F94805" w:rsidRDefault="00F94805" w:rsidP="00F94805">
      <w:r w:rsidRPr="00F94805">
        <w:t>*) Tillægsprocenten for enlige falder med 1% for hver gang indtægten overstiger fradragsbeløbet med kr. 507.</w:t>
      </w:r>
      <w:r w:rsidRPr="00F94805">
        <w:br/>
        <w:t>**) Tillægsprocenten for gifte/samlevende falder med 1% for hver gang indtægten overstiger fradragsbeløbet med kr. 1.022.</w:t>
      </w:r>
    </w:p>
    <w:p w:rsidR="0094089B" w:rsidRPr="0094089B" w:rsidRDefault="0094089B" w:rsidP="0094089B">
      <w:pPr>
        <w:pStyle w:val="Heading1"/>
      </w:pPr>
      <w:bookmarkStart w:id="5" w:name="_Toc512339619"/>
      <w:r w:rsidRPr="0094089B">
        <w:t>Statistik</w:t>
      </w:r>
      <w:r>
        <w:t xml:space="preserve"> om </w:t>
      </w:r>
      <w:r w:rsidR="00184938">
        <w:t>Tillægsprocent</w:t>
      </w:r>
      <w:bookmarkEnd w:id="5"/>
    </w:p>
    <w:p w:rsidR="00F94805" w:rsidRPr="00F94805" w:rsidRDefault="00F94805" w:rsidP="00F94805">
      <w:r w:rsidRPr="00F94805">
        <w:t>Ved Danmarks Statistik benyttes variablen “</w:t>
      </w:r>
      <w:hyperlink r:id="rId11" w:history="1">
        <w:r w:rsidRPr="00F94805">
          <w:rPr>
            <w:rStyle w:val="Hyperlink"/>
          </w:rPr>
          <w:t>PERTIL_PROCENT</w:t>
        </w:r>
      </w:hyperlink>
      <w:r w:rsidRPr="00F94805">
        <w:t>“ om tillægsprocenten.</w:t>
      </w:r>
    </w:p>
    <w:p w:rsidR="00F94805" w:rsidRPr="00F94805" w:rsidRDefault="00F94805" w:rsidP="00F94805">
      <w:r w:rsidRPr="00F94805">
        <w:t xml:space="preserve">Danmarks Statistik har et helt afsnit om </w:t>
      </w:r>
      <w:hyperlink r:id="rId12" w:history="1">
        <w:r w:rsidRPr="00F94805">
          <w:rPr>
            <w:rStyle w:val="Hyperlink"/>
          </w:rPr>
          <w:t>sociale pensioner</w:t>
        </w:r>
      </w:hyperlink>
      <w:r w:rsidRPr="00F94805">
        <w:t>, men intet specifikt omkring tillægsprocenten.</w:t>
      </w:r>
    </w:p>
    <w:p w:rsidR="0094089B" w:rsidRPr="0094089B" w:rsidRDefault="0094089B" w:rsidP="0094089B">
      <w:pPr>
        <w:pStyle w:val="Heading1"/>
      </w:pPr>
      <w:bookmarkStart w:id="6" w:name="_Toc512339620"/>
      <w:r w:rsidRPr="0094089B">
        <w:t>Jura</w:t>
      </w:r>
      <w:r w:rsidR="00C53886">
        <w:t xml:space="preserve"> om </w:t>
      </w:r>
      <w:r w:rsidR="00184938">
        <w:t>Tillægsprocent</w:t>
      </w:r>
      <w:bookmarkEnd w:id="6"/>
    </w:p>
    <w:p w:rsidR="00F94805" w:rsidRPr="00F94805" w:rsidRDefault="00F94805" w:rsidP="00F94805">
      <w:r w:rsidRPr="00F94805">
        <w:t xml:space="preserve">Bestemmelser om tillægsprocenten er beskrevet i "Lov om social pension", under punkt §14a stk. 6, §31 stk. 3, §56 stk. 2, §72 d </w:t>
      </w:r>
      <w:proofErr w:type="spellStart"/>
      <w:r w:rsidRPr="00F94805">
        <w:t>stk</w:t>
      </w:r>
      <w:proofErr w:type="spellEnd"/>
      <w:r w:rsidRPr="00F94805">
        <w:t xml:space="preserve"> 3.</w:t>
      </w:r>
    </w:p>
    <w:p w:rsidR="002C67EB" w:rsidRDefault="00F94805">
      <w:r w:rsidRPr="00F94805">
        <w:t xml:space="preserve">Du kan finde "Lov om social pension" ved f.eks. </w:t>
      </w:r>
      <w:hyperlink r:id="rId13" w:history="1">
        <w:r w:rsidRPr="00F94805">
          <w:rPr>
            <w:rStyle w:val="Hyperlink"/>
          </w:rPr>
          <w:t>retsinformation.dk</w:t>
        </w:r>
      </w:hyperlink>
      <w:r w:rsidRPr="00F94805">
        <w:t xml:space="preserve"> eller </w:t>
      </w:r>
      <w:hyperlink r:id="rId14" w:history="1">
        <w:r w:rsidRPr="00F94805">
          <w:rPr>
            <w:rStyle w:val="Hyperlink"/>
          </w:rPr>
          <w:t>soci</w:t>
        </w:r>
        <w:r w:rsidRPr="00F94805">
          <w:rPr>
            <w:rStyle w:val="Hyperlink"/>
          </w:rPr>
          <w:t>a</w:t>
        </w:r>
        <w:r w:rsidRPr="00F94805">
          <w:rPr>
            <w:rStyle w:val="Hyperlink"/>
          </w:rPr>
          <w:t>ljura.dk</w:t>
        </w:r>
      </w:hyperlink>
      <w:r w:rsidRPr="00F94805">
        <w:t>.</w:t>
      </w:r>
      <w:bookmarkStart w:id="7" w:name="_Ref512319791"/>
    </w:p>
    <w:p w:rsidR="00E627CE" w:rsidRDefault="00E627CE" w:rsidP="00E627CE">
      <w:pPr>
        <w:pStyle w:val="Heading1"/>
      </w:pPr>
      <w:bookmarkStart w:id="8" w:name="_Toc512339621"/>
      <w:r>
        <w:t>Yderligere information</w:t>
      </w:r>
      <w:bookmarkEnd w:id="8"/>
    </w:p>
    <w:p w:rsidR="00E627CE" w:rsidRPr="00E627CE" w:rsidRDefault="00E627CE" w:rsidP="00E627CE">
      <w:r>
        <w:t xml:space="preserve">Du kan finde yderligere </w:t>
      </w:r>
      <w:hyperlink r:id="rId15" w:history="1">
        <w:r w:rsidRPr="00E627CE">
          <w:rPr>
            <w:rStyle w:val="Hyperlink"/>
          </w:rPr>
          <w:t>information om tillægsprocent</w:t>
        </w:r>
      </w:hyperlink>
      <w:r>
        <w:t xml:space="preserve"> ved trusthansen.dk.</w:t>
      </w:r>
      <w:bookmarkEnd w:id="7"/>
    </w:p>
    <w:sectPr w:rsidR="00E627CE" w:rsidRPr="00E627C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AA6"/>
    <w:multiLevelType w:val="multilevel"/>
    <w:tmpl w:val="B3C2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D0304"/>
    <w:multiLevelType w:val="multilevel"/>
    <w:tmpl w:val="A546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07726"/>
    <w:multiLevelType w:val="multilevel"/>
    <w:tmpl w:val="6A24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1401AF"/>
    <w:multiLevelType w:val="multilevel"/>
    <w:tmpl w:val="A914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ED2E94"/>
    <w:multiLevelType w:val="multilevel"/>
    <w:tmpl w:val="2A54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8E20C5"/>
    <w:multiLevelType w:val="multilevel"/>
    <w:tmpl w:val="AAF6465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21015D4E"/>
    <w:multiLevelType w:val="hybridMultilevel"/>
    <w:tmpl w:val="9D3A5F3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26952C2"/>
    <w:multiLevelType w:val="multilevel"/>
    <w:tmpl w:val="269E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541584"/>
    <w:multiLevelType w:val="multilevel"/>
    <w:tmpl w:val="5CA6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044A0F"/>
    <w:multiLevelType w:val="multilevel"/>
    <w:tmpl w:val="DD4C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8C5773"/>
    <w:multiLevelType w:val="multilevel"/>
    <w:tmpl w:val="587C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BF52F0"/>
    <w:multiLevelType w:val="multilevel"/>
    <w:tmpl w:val="FF66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950CF7"/>
    <w:multiLevelType w:val="hybridMultilevel"/>
    <w:tmpl w:val="3FE210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C007CA8"/>
    <w:multiLevelType w:val="multilevel"/>
    <w:tmpl w:val="FDB8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FC4FF4"/>
    <w:multiLevelType w:val="multilevel"/>
    <w:tmpl w:val="F38C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A21042"/>
    <w:multiLevelType w:val="multilevel"/>
    <w:tmpl w:val="D372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913090"/>
    <w:multiLevelType w:val="hybridMultilevel"/>
    <w:tmpl w:val="A648BB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F9E04F0"/>
    <w:multiLevelType w:val="multilevel"/>
    <w:tmpl w:val="5418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C66D1E"/>
    <w:multiLevelType w:val="multilevel"/>
    <w:tmpl w:val="EA4E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B24542"/>
    <w:multiLevelType w:val="multilevel"/>
    <w:tmpl w:val="5672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786096"/>
    <w:multiLevelType w:val="multilevel"/>
    <w:tmpl w:val="533A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954A25"/>
    <w:multiLevelType w:val="multilevel"/>
    <w:tmpl w:val="4630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9973BA"/>
    <w:multiLevelType w:val="hybridMultilevel"/>
    <w:tmpl w:val="EA4626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22"/>
  </w:num>
  <w:num w:numId="4">
    <w:abstractNumId w:val="10"/>
  </w:num>
  <w:num w:numId="5">
    <w:abstractNumId w:val="12"/>
  </w:num>
  <w:num w:numId="6">
    <w:abstractNumId w:val="16"/>
  </w:num>
  <w:num w:numId="7">
    <w:abstractNumId w:val="8"/>
  </w:num>
  <w:num w:numId="8">
    <w:abstractNumId w:val="7"/>
  </w:num>
  <w:num w:numId="9">
    <w:abstractNumId w:val="11"/>
  </w:num>
  <w:num w:numId="10">
    <w:abstractNumId w:val="3"/>
  </w:num>
  <w:num w:numId="11">
    <w:abstractNumId w:val="13"/>
  </w:num>
  <w:num w:numId="12">
    <w:abstractNumId w:val="14"/>
  </w:num>
  <w:num w:numId="13">
    <w:abstractNumId w:val="5"/>
  </w:num>
  <w:num w:numId="14">
    <w:abstractNumId w:val="19"/>
  </w:num>
  <w:num w:numId="15">
    <w:abstractNumId w:val="15"/>
  </w:num>
  <w:num w:numId="16">
    <w:abstractNumId w:val="6"/>
  </w:num>
  <w:num w:numId="17">
    <w:abstractNumId w:val="17"/>
  </w:num>
  <w:num w:numId="18">
    <w:abstractNumId w:val="1"/>
  </w:num>
  <w:num w:numId="19">
    <w:abstractNumId w:val="0"/>
  </w:num>
  <w:num w:numId="20">
    <w:abstractNumId w:val="2"/>
  </w:num>
  <w:num w:numId="21">
    <w:abstractNumId w:val="9"/>
  </w:num>
  <w:num w:numId="22">
    <w:abstractNumId w:val="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9B"/>
    <w:rsid w:val="00083FC9"/>
    <w:rsid w:val="00184938"/>
    <w:rsid w:val="00190BE3"/>
    <w:rsid w:val="001E3D63"/>
    <w:rsid w:val="00277319"/>
    <w:rsid w:val="002B7500"/>
    <w:rsid w:val="002C67EB"/>
    <w:rsid w:val="004050D0"/>
    <w:rsid w:val="004614EF"/>
    <w:rsid w:val="004F1368"/>
    <w:rsid w:val="005A0575"/>
    <w:rsid w:val="00712857"/>
    <w:rsid w:val="008B74C2"/>
    <w:rsid w:val="0094089B"/>
    <w:rsid w:val="00994C24"/>
    <w:rsid w:val="00AE2CB5"/>
    <w:rsid w:val="00B772D0"/>
    <w:rsid w:val="00B93EBC"/>
    <w:rsid w:val="00C53886"/>
    <w:rsid w:val="00DD66FD"/>
    <w:rsid w:val="00E627CE"/>
    <w:rsid w:val="00EE2A41"/>
    <w:rsid w:val="00F1493A"/>
    <w:rsid w:val="00F33562"/>
    <w:rsid w:val="00F87C2E"/>
    <w:rsid w:val="00F948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03B9"/>
  <w15:chartTrackingRefBased/>
  <w15:docId w15:val="{381CE4AC-AD40-4920-9484-E693C281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08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08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408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E2CB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89B"/>
    <w:rPr>
      <w:color w:val="0563C1" w:themeColor="hyperlink"/>
      <w:u w:val="single"/>
    </w:rPr>
  </w:style>
  <w:style w:type="character" w:styleId="UnresolvedMention">
    <w:name w:val="Unresolved Mention"/>
    <w:basedOn w:val="DefaultParagraphFont"/>
    <w:uiPriority w:val="99"/>
    <w:semiHidden/>
    <w:unhideWhenUsed/>
    <w:rsid w:val="0094089B"/>
    <w:rPr>
      <w:color w:val="808080"/>
      <w:shd w:val="clear" w:color="auto" w:fill="E6E6E6"/>
    </w:rPr>
  </w:style>
  <w:style w:type="paragraph" w:styleId="Title">
    <w:name w:val="Title"/>
    <w:basedOn w:val="Normal"/>
    <w:next w:val="Normal"/>
    <w:link w:val="TitleChar"/>
    <w:uiPriority w:val="10"/>
    <w:qFormat/>
    <w:rsid w:val="009408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89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4089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4089B"/>
    <w:pPr>
      <w:outlineLvl w:val="9"/>
    </w:pPr>
    <w:rPr>
      <w:lang w:eastAsia="da-DK"/>
    </w:rPr>
  </w:style>
  <w:style w:type="character" w:customStyle="1" w:styleId="Heading2Char">
    <w:name w:val="Heading 2 Char"/>
    <w:basedOn w:val="DefaultParagraphFont"/>
    <w:link w:val="Heading2"/>
    <w:uiPriority w:val="9"/>
    <w:rsid w:val="0094089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4089B"/>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8B74C2"/>
    <w:pPr>
      <w:spacing w:after="100"/>
    </w:pPr>
  </w:style>
  <w:style w:type="paragraph" w:styleId="TOC2">
    <w:name w:val="toc 2"/>
    <w:basedOn w:val="Normal"/>
    <w:next w:val="Normal"/>
    <w:autoRedefine/>
    <w:uiPriority w:val="39"/>
    <w:unhideWhenUsed/>
    <w:rsid w:val="008B74C2"/>
    <w:pPr>
      <w:spacing w:after="100"/>
      <w:ind w:left="220"/>
    </w:pPr>
  </w:style>
  <w:style w:type="paragraph" w:styleId="ListParagraph">
    <w:name w:val="List Paragraph"/>
    <w:basedOn w:val="Normal"/>
    <w:uiPriority w:val="34"/>
    <w:qFormat/>
    <w:rsid w:val="00F1493A"/>
    <w:pPr>
      <w:ind w:left="720"/>
      <w:contextualSpacing/>
    </w:pPr>
  </w:style>
  <w:style w:type="character" w:styleId="Emphasis">
    <w:name w:val="Emphasis"/>
    <w:basedOn w:val="DefaultParagraphFont"/>
    <w:uiPriority w:val="20"/>
    <w:qFormat/>
    <w:rsid w:val="00F87C2E"/>
    <w:rPr>
      <w:i/>
      <w:iCs/>
    </w:rPr>
  </w:style>
  <w:style w:type="character" w:customStyle="1" w:styleId="Heading4Char">
    <w:name w:val="Heading 4 Char"/>
    <w:basedOn w:val="DefaultParagraphFont"/>
    <w:link w:val="Heading4"/>
    <w:uiPriority w:val="9"/>
    <w:semiHidden/>
    <w:rsid w:val="00AE2CB5"/>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994C2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ollowedHyperlink">
    <w:name w:val="FollowedHyperlink"/>
    <w:basedOn w:val="DefaultParagraphFont"/>
    <w:uiPriority w:val="99"/>
    <w:semiHidden/>
    <w:unhideWhenUsed/>
    <w:rsid w:val="00F948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8721">
      <w:bodyDiv w:val="1"/>
      <w:marLeft w:val="0"/>
      <w:marRight w:val="0"/>
      <w:marTop w:val="0"/>
      <w:marBottom w:val="0"/>
      <w:divBdr>
        <w:top w:val="none" w:sz="0" w:space="0" w:color="auto"/>
        <w:left w:val="none" w:sz="0" w:space="0" w:color="auto"/>
        <w:bottom w:val="none" w:sz="0" w:space="0" w:color="auto"/>
        <w:right w:val="none" w:sz="0" w:space="0" w:color="auto"/>
      </w:divBdr>
    </w:div>
    <w:div w:id="94835151">
      <w:bodyDiv w:val="1"/>
      <w:marLeft w:val="0"/>
      <w:marRight w:val="0"/>
      <w:marTop w:val="0"/>
      <w:marBottom w:val="0"/>
      <w:divBdr>
        <w:top w:val="none" w:sz="0" w:space="0" w:color="auto"/>
        <w:left w:val="none" w:sz="0" w:space="0" w:color="auto"/>
        <w:bottom w:val="none" w:sz="0" w:space="0" w:color="auto"/>
        <w:right w:val="none" w:sz="0" w:space="0" w:color="auto"/>
      </w:divBdr>
    </w:div>
    <w:div w:id="116678193">
      <w:bodyDiv w:val="1"/>
      <w:marLeft w:val="0"/>
      <w:marRight w:val="0"/>
      <w:marTop w:val="0"/>
      <w:marBottom w:val="0"/>
      <w:divBdr>
        <w:top w:val="none" w:sz="0" w:space="0" w:color="auto"/>
        <w:left w:val="none" w:sz="0" w:space="0" w:color="auto"/>
        <w:bottom w:val="none" w:sz="0" w:space="0" w:color="auto"/>
        <w:right w:val="none" w:sz="0" w:space="0" w:color="auto"/>
      </w:divBdr>
    </w:div>
    <w:div w:id="117990734">
      <w:bodyDiv w:val="1"/>
      <w:marLeft w:val="0"/>
      <w:marRight w:val="0"/>
      <w:marTop w:val="0"/>
      <w:marBottom w:val="0"/>
      <w:divBdr>
        <w:top w:val="none" w:sz="0" w:space="0" w:color="auto"/>
        <w:left w:val="none" w:sz="0" w:space="0" w:color="auto"/>
        <w:bottom w:val="none" w:sz="0" w:space="0" w:color="auto"/>
        <w:right w:val="none" w:sz="0" w:space="0" w:color="auto"/>
      </w:divBdr>
    </w:div>
    <w:div w:id="259610915">
      <w:bodyDiv w:val="1"/>
      <w:marLeft w:val="0"/>
      <w:marRight w:val="0"/>
      <w:marTop w:val="0"/>
      <w:marBottom w:val="0"/>
      <w:divBdr>
        <w:top w:val="none" w:sz="0" w:space="0" w:color="auto"/>
        <w:left w:val="none" w:sz="0" w:space="0" w:color="auto"/>
        <w:bottom w:val="none" w:sz="0" w:space="0" w:color="auto"/>
        <w:right w:val="none" w:sz="0" w:space="0" w:color="auto"/>
      </w:divBdr>
    </w:div>
    <w:div w:id="309940476">
      <w:bodyDiv w:val="1"/>
      <w:marLeft w:val="0"/>
      <w:marRight w:val="0"/>
      <w:marTop w:val="0"/>
      <w:marBottom w:val="0"/>
      <w:divBdr>
        <w:top w:val="none" w:sz="0" w:space="0" w:color="auto"/>
        <w:left w:val="none" w:sz="0" w:space="0" w:color="auto"/>
        <w:bottom w:val="none" w:sz="0" w:space="0" w:color="auto"/>
        <w:right w:val="none" w:sz="0" w:space="0" w:color="auto"/>
      </w:divBdr>
    </w:div>
    <w:div w:id="328141181">
      <w:bodyDiv w:val="1"/>
      <w:marLeft w:val="0"/>
      <w:marRight w:val="0"/>
      <w:marTop w:val="0"/>
      <w:marBottom w:val="0"/>
      <w:divBdr>
        <w:top w:val="none" w:sz="0" w:space="0" w:color="auto"/>
        <w:left w:val="none" w:sz="0" w:space="0" w:color="auto"/>
        <w:bottom w:val="none" w:sz="0" w:space="0" w:color="auto"/>
        <w:right w:val="none" w:sz="0" w:space="0" w:color="auto"/>
      </w:divBdr>
    </w:div>
    <w:div w:id="502479573">
      <w:bodyDiv w:val="1"/>
      <w:marLeft w:val="0"/>
      <w:marRight w:val="0"/>
      <w:marTop w:val="0"/>
      <w:marBottom w:val="0"/>
      <w:divBdr>
        <w:top w:val="none" w:sz="0" w:space="0" w:color="auto"/>
        <w:left w:val="none" w:sz="0" w:space="0" w:color="auto"/>
        <w:bottom w:val="none" w:sz="0" w:space="0" w:color="auto"/>
        <w:right w:val="none" w:sz="0" w:space="0" w:color="auto"/>
      </w:divBdr>
    </w:div>
    <w:div w:id="551889561">
      <w:bodyDiv w:val="1"/>
      <w:marLeft w:val="0"/>
      <w:marRight w:val="0"/>
      <w:marTop w:val="0"/>
      <w:marBottom w:val="0"/>
      <w:divBdr>
        <w:top w:val="none" w:sz="0" w:space="0" w:color="auto"/>
        <w:left w:val="none" w:sz="0" w:space="0" w:color="auto"/>
        <w:bottom w:val="none" w:sz="0" w:space="0" w:color="auto"/>
        <w:right w:val="none" w:sz="0" w:space="0" w:color="auto"/>
      </w:divBdr>
      <w:divsChild>
        <w:div w:id="1659067656">
          <w:marLeft w:val="0"/>
          <w:marRight w:val="0"/>
          <w:marTop w:val="0"/>
          <w:marBottom w:val="0"/>
          <w:divBdr>
            <w:top w:val="none" w:sz="0" w:space="0" w:color="auto"/>
            <w:left w:val="none" w:sz="0" w:space="0" w:color="auto"/>
            <w:bottom w:val="none" w:sz="0" w:space="0" w:color="auto"/>
            <w:right w:val="none" w:sz="0" w:space="0" w:color="auto"/>
          </w:divBdr>
        </w:div>
      </w:divsChild>
    </w:div>
    <w:div w:id="611396474">
      <w:bodyDiv w:val="1"/>
      <w:marLeft w:val="0"/>
      <w:marRight w:val="0"/>
      <w:marTop w:val="0"/>
      <w:marBottom w:val="0"/>
      <w:divBdr>
        <w:top w:val="none" w:sz="0" w:space="0" w:color="auto"/>
        <w:left w:val="none" w:sz="0" w:space="0" w:color="auto"/>
        <w:bottom w:val="none" w:sz="0" w:space="0" w:color="auto"/>
        <w:right w:val="none" w:sz="0" w:space="0" w:color="auto"/>
      </w:divBdr>
    </w:div>
    <w:div w:id="773286555">
      <w:bodyDiv w:val="1"/>
      <w:marLeft w:val="0"/>
      <w:marRight w:val="0"/>
      <w:marTop w:val="0"/>
      <w:marBottom w:val="0"/>
      <w:divBdr>
        <w:top w:val="none" w:sz="0" w:space="0" w:color="auto"/>
        <w:left w:val="none" w:sz="0" w:space="0" w:color="auto"/>
        <w:bottom w:val="none" w:sz="0" w:space="0" w:color="auto"/>
        <w:right w:val="none" w:sz="0" w:space="0" w:color="auto"/>
      </w:divBdr>
    </w:div>
    <w:div w:id="1054886812">
      <w:bodyDiv w:val="1"/>
      <w:marLeft w:val="0"/>
      <w:marRight w:val="0"/>
      <w:marTop w:val="0"/>
      <w:marBottom w:val="0"/>
      <w:divBdr>
        <w:top w:val="none" w:sz="0" w:space="0" w:color="auto"/>
        <w:left w:val="none" w:sz="0" w:space="0" w:color="auto"/>
        <w:bottom w:val="none" w:sz="0" w:space="0" w:color="auto"/>
        <w:right w:val="none" w:sz="0" w:space="0" w:color="auto"/>
      </w:divBdr>
    </w:div>
    <w:div w:id="1131094031">
      <w:bodyDiv w:val="1"/>
      <w:marLeft w:val="0"/>
      <w:marRight w:val="0"/>
      <w:marTop w:val="0"/>
      <w:marBottom w:val="0"/>
      <w:divBdr>
        <w:top w:val="none" w:sz="0" w:space="0" w:color="auto"/>
        <w:left w:val="none" w:sz="0" w:space="0" w:color="auto"/>
        <w:bottom w:val="none" w:sz="0" w:space="0" w:color="auto"/>
        <w:right w:val="none" w:sz="0" w:space="0" w:color="auto"/>
      </w:divBdr>
    </w:div>
    <w:div w:id="1151022443">
      <w:bodyDiv w:val="1"/>
      <w:marLeft w:val="0"/>
      <w:marRight w:val="0"/>
      <w:marTop w:val="0"/>
      <w:marBottom w:val="0"/>
      <w:divBdr>
        <w:top w:val="none" w:sz="0" w:space="0" w:color="auto"/>
        <w:left w:val="none" w:sz="0" w:space="0" w:color="auto"/>
        <w:bottom w:val="none" w:sz="0" w:space="0" w:color="auto"/>
        <w:right w:val="none" w:sz="0" w:space="0" w:color="auto"/>
      </w:divBdr>
    </w:div>
    <w:div w:id="1183783504">
      <w:bodyDiv w:val="1"/>
      <w:marLeft w:val="0"/>
      <w:marRight w:val="0"/>
      <w:marTop w:val="0"/>
      <w:marBottom w:val="0"/>
      <w:divBdr>
        <w:top w:val="none" w:sz="0" w:space="0" w:color="auto"/>
        <w:left w:val="none" w:sz="0" w:space="0" w:color="auto"/>
        <w:bottom w:val="none" w:sz="0" w:space="0" w:color="auto"/>
        <w:right w:val="none" w:sz="0" w:space="0" w:color="auto"/>
      </w:divBdr>
    </w:div>
    <w:div w:id="1198542695">
      <w:bodyDiv w:val="1"/>
      <w:marLeft w:val="0"/>
      <w:marRight w:val="0"/>
      <w:marTop w:val="0"/>
      <w:marBottom w:val="0"/>
      <w:divBdr>
        <w:top w:val="none" w:sz="0" w:space="0" w:color="auto"/>
        <w:left w:val="none" w:sz="0" w:space="0" w:color="auto"/>
        <w:bottom w:val="none" w:sz="0" w:space="0" w:color="auto"/>
        <w:right w:val="none" w:sz="0" w:space="0" w:color="auto"/>
      </w:divBdr>
    </w:div>
    <w:div w:id="1272278433">
      <w:bodyDiv w:val="1"/>
      <w:marLeft w:val="0"/>
      <w:marRight w:val="0"/>
      <w:marTop w:val="0"/>
      <w:marBottom w:val="0"/>
      <w:divBdr>
        <w:top w:val="none" w:sz="0" w:space="0" w:color="auto"/>
        <w:left w:val="none" w:sz="0" w:space="0" w:color="auto"/>
        <w:bottom w:val="none" w:sz="0" w:space="0" w:color="auto"/>
        <w:right w:val="none" w:sz="0" w:space="0" w:color="auto"/>
      </w:divBdr>
    </w:div>
    <w:div w:id="1287008584">
      <w:bodyDiv w:val="1"/>
      <w:marLeft w:val="0"/>
      <w:marRight w:val="0"/>
      <w:marTop w:val="0"/>
      <w:marBottom w:val="0"/>
      <w:divBdr>
        <w:top w:val="none" w:sz="0" w:space="0" w:color="auto"/>
        <w:left w:val="none" w:sz="0" w:space="0" w:color="auto"/>
        <w:bottom w:val="none" w:sz="0" w:space="0" w:color="auto"/>
        <w:right w:val="none" w:sz="0" w:space="0" w:color="auto"/>
      </w:divBdr>
    </w:div>
    <w:div w:id="1294142426">
      <w:bodyDiv w:val="1"/>
      <w:marLeft w:val="0"/>
      <w:marRight w:val="0"/>
      <w:marTop w:val="0"/>
      <w:marBottom w:val="0"/>
      <w:divBdr>
        <w:top w:val="none" w:sz="0" w:space="0" w:color="auto"/>
        <w:left w:val="none" w:sz="0" w:space="0" w:color="auto"/>
        <w:bottom w:val="none" w:sz="0" w:space="0" w:color="auto"/>
        <w:right w:val="none" w:sz="0" w:space="0" w:color="auto"/>
      </w:divBdr>
    </w:div>
    <w:div w:id="1395080459">
      <w:bodyDiv w:val="1"/>
      <w:marLeft w:val="0"/>
      <w:marRight w:val="0"/>
      <w:marTop w:val="0"/>
      <w:marBottom w:val="0"/>
      <w:divBdr>
        <w:top w:val="none" w:sz="0" w:space="0" w:color="auto"/>
        <w:left w:val="none" w:sz="0" w:space="0" w:color="auto"/>
        <w:bottom w:val="none" w:sz="0" w:space="0" w:color="auto"/>
        <w:right w:val="none" w:sz="0" w:space="0" w:color="auto"/>
      </w:divBdr>
    </w:div>
    <w:div w:id="1420980184">
      <w:bodyDiv w:val="1"/>
      <w:marLeft w:val="0"/>
      <w:marRight w:val="0"/>
      <w:marTop w:val="0"/>
      <w:marBottom w:val="0"/>
      <w:divBdr>
        <w:top w:val="none" w:sz="0" w:space="0" w:color="auto"/>
        <w:left w:val="none" w:sz="0" w:space="0" w:color="auto"/>
        <w:bottom w:val="none" w:sz="0" w:space="0" w:color="auto"/>
        <w:right w:val="none" w:sz="0" w:space="0" w:color="auto"/>
      </w:divBdr>
    </w:div>
    <w:div w:id="1493132911">
      <w:bodyDiv w:val="1"/>
      <w:marLeft w:val="0"/>
      <w:marRight w:val="0"/>
      <w:marTop w:val="0"/>
      <w:marBottom w:val="0"/>
      <w:divBdr>
        <w:top w:val="none" w:sz="0" w:space="0" w:color="auto"/>
        <w:left w:val="none" w:sz="0" w:space="0" w:color="auto"/>
        <w:bottom w:val="none" w:sz="0" w:space="0" w:color="auto"/>
        <w:right w:val="none" w:sz="0" w:space="0" w:color="auto"/>
      </w:divBdr>
    </w:div>
    <w:div w:id="1618367438">
      <w:bodyDiv w:val="1"/>
      <w:marLeft w:val="0"/>
      <w:marRight w:val="0"/>
      <w:marTop w:val="0"/>
      <w:marBottom w:val="0"/>
      <w:divBdr>
        <w:top w:val="none" w:sz="0" w:space="0" w:color="auto"/>
        <w:left w:val="none" w:sz="0" w:space="0" w:color="auto"/>
        <w:bottom w:val="none" w:sz="0" w:space="0" w:color="auto"/>
        <w:right w:val="none" w:sz="0" w:space="0" w:color="auto"/>
      </w:divBdr>
      <w:divsChild>
        <w:div w:id="1009678320">
          <w:marLeft w:val="0"/>
          <w:marRight w:val="0"/>
          <w:marTop w:val="0"/>
          <w:marBottom w:val="0"/>
          <w:divBdr>
            <w:top w:val="none" w:sz="0" w:space="0" w:color="auto"/>
            <w:left w:val="none" w:sz="0" w:space="0" w:color="auto"/>
            <w:bottom w:val="none" w:sz="0" w:space="0" w:color="auto"/>
            <w:right w:val="none" w:sz="0" w:space="0" w:color="auto"/>
          </w:divBdr>
        </w:div>
      </w:divsChild>
    </w:div>
    <w:div w:id="1708022924">
      <w:bodyDiv w:val="1"/>
      <w:marLeft w:val="0"/>
      <w:marRight w:val="0"/>
      <w:marTop w:val="0"/>
      <w:marBottom w:val="0"/>
      <w:divBdr>
        <w:top w:val="none" w:sz="0" w:space="0" w:color="auto"/>
        <w:left w:val="none" w:sz="0" w:space="0" w:color="auto"/>
        <w:bottom w:val="none" w:sz="0" w:space="0" w:color="auto"/>
        <w:right w:val="none" w:sz="0" w:space="0" w:color="auto"/>
      </w:divBdr>
    </w:div>
    <w:div w:id="1746339621">
      <w:bodyDiv w:val="1"/>
      <w:marLeft w:val="0"/>
      <w:marRight w:val="0"/>
      <w:marTop w:val="0"/>
      <w:marBottom w:val="0"/>
      <w:divBdr>
        <w:top w:val="none" w:sz="0" w:space="0" w:color="auto"/>
        <w:left w:val="none" w:sz="0" w:space="0" w:color="auto"/>
        <w:bottom w:val="none" w:sz="0" w:space="0" w:color="auto"/>
        <w:right w:val="none" w:sz="0" w:space="0" w:color="auto"/>
      </w:divBdr>
    </w:div>
    <w:div w:id="1820465322">
      <w:bodyDiv w:val="1"/>
      <w:marLeft w:val="0"/>
      <w:marRight w:val="0"/>
      <w:marTop w:val="0"/>
      <w:marBottom w:val="0"/>
      <w:divBdr>
        <w:top w:val="none" w:sz="0" w:space="0" w:color="auto"/>
        <w:left w:val="none" w:sz="0" w:space="0" w:color="auto"/>
        <w:bottom w:val="none" w:sz="0" w:space="0" w:color="auto"/>
        <w:right w:val="none" w:sz="0" w:space="0" w:color="auto"/>
      </w:divBdr>
    </w:div>
    <w:div w:id="1875534798">
      <w:bodyDiv w:val="1"/>
      <w:marLeft w:val="0"/>
      <w:marRight w:val="0"/>
      <w:marTop w:val="0"/>
      <w:marBottom w:val="0"/>
      <w:divBdr>
        <w:top w:val="none" w:sz="0" w:space="0" w:color="auto"/>
        <w:left w:val="none" w:sz="0" w:space="0" w:color="auto"/>
        <w:bottom w:val="none" w:sz="0" w:space="0" w:color="auto"/>
        <w:right w:val="none" w:sz="0" w:space="0" w:color="auto"/>
      </w:divBdr>
    </w:div>
    <w:div w:id="1949073218">
      <w:bodyDiv w:val="1"/>
      <w:marLeft w:val="0"/>
      <w:marRight w:val="0"/>
      <w:marTop w:val="0"/>
      <w:marBottom w:val="0"/>
      <w:divBdr>
        <w:top w:val="none" w:sz="0" w:space="0" w:color="auto"/>
        <w:left w:val="none" w:sz="0" w:space="0" w:color="auto"/>
        <w:bottom w:val="none" w:sz="0" w:space="0" w:color="auto"/>
        <w:right w:val="none" w:sz="0" w:space="0" w:color="auto"/>
      </w:divBdr>
    </w:div>
    <w:div w:id="1954944602">
      <w:bodyDiv w:val="1"/>
      <w:marLeft w:val="0"/>
      <w:marRight w:val="0"/>
      <w:marTop w:val="0"/>
      <w:marBottom w:val="0"/>
      <w:divBdr>
        <w:top w:val="none" w:sz="0" w:space="0" w:color="auto"/>
        <w:left w:val="none" w:sz="0" w:space="0" w:color="auto"/>
        <w:bottom w:val="none" w:sz="0" w:space="0" w:color="auto"/>
        <w:right w:val="none" w:sz="0" w:space="0" w:color="auto"/>
      </w:divBdr>
    </w:div>
    <w:div w:id="1973514978">
      <w:bodyDiv w:val="1"/>
      <w:marLeft w:val="0"/>
      <w:marRight w:val="0"/>
      <w:marTop w:val="0"/>
      <w:marBottom w:val="0"/>
      <w:divBdr>
        <w:top w:val="none" w:sz="0" w:space="0" w:color="auto"/>
        <w:left w:val="none" w:sz="0" w:space="0" w:color="auto"/>
        <w:bottom w:val="none" w:sz="0" w:space="0" w:color="auto"/>
        <w:right w:val="none" w:sz="0" w:space="0" w:color="auto"/>
      </w:divBdr>
    </w:div>
    <w:div w:id="1992829029">
      <w:bodyDiv w:val="1"/>
      <w:marLeft w:val="0"/>
      <w:marRight w:val="0"/>
      <w:marTop w:val="0"/>
      <w:marBottom w:val="0"/>
      <w:divBdr>
        <w:top w:val="none" w:sz="0" w:space="0" w:color="auto"/>
        <w:left w:val="none" w:sz="0" w:space="0" w:color="auto"/>
        <w:bottom w:val="none" w:sz="0" w:space="0" w:color="auto"/>
        <w:right w:val="none" w:sz="0" w:space="0" w:color="auto"/>
      </w:divBdr>
    </w:div>
    <w:div w:id="2005812293">
      <w:bodyDiv w:val="1"/>
      <w:marLeft w:val="0"/>
      <w:marRight w:val="0"/>
      <w:marTop w:val="0"/>
      <w:marBottom w:val="0"/>
      <w:divBdr>
        <w:top w:val="none" w:sz="0" w:space="0" w:color="auto"/>
        <w:left w:val="none" w:sz="0" w:space="0" w:color="auto"/>
        <w:bottom w:val="none" w:sz="0" w:space="0" w:color="auto"/>
        <w:right w:val="none" w:sz="0" w:space="0" w:color="auto"/>
      </w:divBdr>
    </w:div>
    <w:div w:id="202081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ension/folkepension/varmetillaeg/" TargetMode="External"/><Relationship Id="rId13" Type="http://schemas.openxmlformats.org/officeDocument/2006/relationships/hyperlink" Target="https://www.retsinformation.dk/eli/lta/2017/1208" TargetMode="External"/><Relationship Id="rId3" Type="http://schemas.openxmlformats.org/officeDocument/2006/relationships/styles" Target="styles.xml"/><Relationship Id="rId7" Type="http://schemas.openxmlformats.org/officeDocument/2006/relationships/hyperlink" Target="/pension/folkepension/aeldrecheck/" TargetMode="External"/><Relationship Id="rId12" Type="http://schemas.openxmlformats.org/officeDocument/2006/relationships/hyperlink" Target="https://www.dst.dk/da/TilSalg/Forskningsservice/Dokumentation/hoejkvalitetsvariable/sociale-pension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pension/folkepension/helbredstillaeg/" TargetMode="External"/><Relationship Id="rId11" Type="http://schemas.openxmlformats.org/officeDocument/2006/relationships/hyperlink" Target="https://www.dst.dk/da/Statistik/dokumentation/Times/sociale-pensioner/pertil-procent" TargetMode="External"/><Relationship Id="rId5" Type="http://schemas.openxmlformats.org/officeDocument/2006/relationships/webSettings" Target="webSettings.xml"/><Relationship Id="rId15" Type="http://schemas.openxmlformats.org/officeDocument/2006/relationships/hyperlink" Target="https://www.trusthansen.dk/pension/folkepension/tillaegsprocent/" TargetMode="External"/><Relationship Id="rId10" Type="http://schemas.openxmlformats.org/officeDocument/2006/relationships/hyperlink" Target="https://www.skat.dk/skat.aspx?oid=2664&amp;ik_navn=transport" TargetMode="External"/><Relationship Id="rId4" Type="http://schemas.openxmlformats.org/officeDocument/2006/relationships/settings" Target="settings.xml"/><Relationship Id="rId9" Type="http://schemas.openxmlformats.org/officeDocument/2006/relationships/hyperlink" Target="https://www.borger.dk/pension-og-efterloen/Tillaeg-til-folke--og-foertidspension/Folkepension-aeldrecheck" TargetMode="External"/><Relationship Id="rId14" Type="http://schemas.openxmlformats.org/officeDocument/2006/relationships/hyperlink" Target="http://www.socialjura.dk/content-storage/love/love/pensionslov/menu/pension/?showpage=1&amp;cHash=a2865e475dc8709685614d849172b7a8"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0CD44-FA32-422B-8CE7-F1A91AC32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1206</Words>
  <Characters>7360</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Tillægsprocent</vt:lpstr>
      <vt:lpstr>Hvad er Tillægsprocent?</vt:lpstr>
      <vt:lpstr>Om Tillægsprocent</vt:lpstr>
      <vt:lpstr>Sådan bliver Tillægsprocent udregnet</vt:lpstr>
      <vt:lpstr>Eksempler på Tillægsprocent</vt:lpstr>
      <vt:lpstr>Statistik om Tillægsprocent</vt:lpstr>
      <vt:lpstr>Jura om Tillægsprocent</vt:lpstr>
      <vt:lpstr>Yderligere information</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Tillægsprocent</dc:title>
  <dc:subject/>
  <dc:creator>Michael Trust Hansen</dc:creator>
  <cp:keywords>Tillægsprocent</cp:keywords>
  <dc:description/>
  <cp:lastModifiedBy>Michael Trust Hansen</cp:lastModifiedBy>
  <cp:revision>7</cp:revision>
  <cp:lastPrinted>2018-04-24T11:25:00Z</cp:lastPrinted>
  <dcterms:created xsi:type="dcterms:W3CDTF">2018-04-24T10:43:00Z</dcterms:created>
  <dcterms:modified xsi:type="dcterms:W3CDTF">2018-04-24T11:38:00Z</dcterms:modified>
</cp:coreProperties>
</file>